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92" w:rsidRDefault="00A52A20">
      <w:r>
        <w:t>July 12, 2016</w:t>
      </w:r>
    </w:p>
    <w:p w:rsidR="00A52A20" w:rsidRDefault="00A52A20">
      <w:r>
        <w:t>Dear Valued Investor:</w:t>
      </w:r>
    </w:p>
    <w:p w:rsidR="00A52A20" w:rsidRDefault="00E96405">
      <w:r>
        <w:t>The recently</w:t>
      </w:r>
      <w:r w:rsidR="00A52A20">
        <w:t xml:space="preserve"> release</w:t>
      </w:r>
      <w:r>
        <w:t>d</w:t>
      </w:r>
      <w:r w:rsidR="00A52A20">
        <w:t xml:space="preserve"> </w:t>
      </w:r>
      <w:r w:rsidR="00A52A20" w:rsidRPr="00A52A20">
        <w:rPr>
          <w:i/>
        </w:rPr>
        <w:t>LPL Research Midyear Outl</w:t>
      </w:r>
      <w:r>
        <w:rPr>
          <w:i/>
        </w:rPr>
        <w:t xml:space="preserve">ook 2016: A Vote of Confidence </w:t>
      </w:r>
      <w:r>
        <w:t xml:space="preserve">publication contains </w:t>
      </w:r>
      <w:r w:rsidR="00A52A20">
        <w:t>the guidance and investment insights to support you throughout the rest of this year.</w:t>
      </w:r>
      <w:r w:rsidR="00CA0C78">
        <w:t xml:space="preserve"> As we embark on the second half of 2016, the headlines and much of our attention will be focused on the 2016 presidential election, which can </w:t>
      </w:r>
      <w:r w:rsidR="00254C45">
        <w:t>distract us with the barrage of promises and heightened political drama.</w:t>
      </w:r>
      <w:r w:rsidR="00CA0C78">
        <w:t xml:space="preserve"> Against that backdrop, however, we </w:t>
      </w:r>
      <w:r w:rsidR="00E25753">
        <w:t>must strive to</w:t>
      </w:r>
      <w:r w:rsidR="00CA0C78">
        <w:t xml:space="preserve"> remain focused on </w:t>
      </w:r>
      <w:r w:rsidR="00E25753">
        <w:t>our</w:t>
      </w:r>
      <w:r w:rsidR="00CA0C78">
        <w:t xml:space="preserve"> long-term investment plans</w:t>
      </w:r>
      <w:r w:rsidR="0033481B">
        <w:t>.</w:t>
      </w:r>
    </w:p>
    <w:p w:rsidR="00420CCA" w:rsidRDefault="00420CCA" w:rsidP="00420CCA">
      <w:r w:rsidRPr="00C75320">
        <w:t>LPL Research propose</w:t>
      </w:r>
      <w:r>
        <w:t>s</w:t>
      </w:r>
      <w:r w:rsidR="00F20D12">
        <w:t xml:space="preserve"> a vote of confidence</w:t>
      </w:r>
      <w:r w:rsidRPr="00C75320">
        <w:t xml:space="preserve"> in the economy, the market, and most importantly, in our ability</w:t>
      </w:r>
      <w:r>
        <w:t xml:space="preserve"> as investors</w:t>
      </w:r>
      <w:r w:rsidRPr="00C75320">
        <w:t xml:space="preserve"> to remain focused on our long-term goals. This is not always easy</w:t>
      </w:r>
      <w:r w:rsidR="00F20D12">
        <w:t>;</w:t>
      </w:r>
      <w:r>
        <w:t xml:space="preserve"> but a</w:t>
      </w:r>
      <w:r w:rsidRPr="00C75320">
        <w:t xml:space="preserve"> vote of confidence means having the belief that someone or something has the ability to succeed. It is more than being positive or negative, a bull or a bear. It is about trusting our assessments of the opportunities—and risks—that may lie ahead, formulating a solid investment plan, and sticking with it through the ups and downs we may </w:t>
      </w:r>
      <w:r>
        <w:t>face</w:t>
      </w:r>
      <w:r w:rsidRPr="00C75320">
        <w:t xml:space="preserve"> in the coming months and beyond.</w:t>
      </w:r>
    </w:p>
    <w:p w:rsidR="00F20D12" w:rsidRPr="00C75320" w:rsidRDefault="00F20D12" w:rsidP="00420CCA">
      <w:r>
        <w:t>Our emotions were tested at the start of 2016, and again in late June. T</w:t>
      </w:r>
      <w:r w:rsidRPr="00C75320">
        <w:t>he S&amp;P 500</w:t>
      </w:r>
      <w:r>
        <w:t xml:space="preserve"> had its worst start to a year ever; then, after coming back to within 3% of a new all-time high, met new opposition from the unlikely candidate of Brexit, as the United Kingdom voted to leave the European Union. Yet, two weeks after the vote </w:t>
      </w:r>
      <w:r w:rsidR="00CB3F55">
        <w:t xml:space="preserve">on June 23 </w:t>
      </w:r>
      <w:r>
        <w:t>and the consequent volatility in the markets, the S&amp;P 500 was back in positive territory—up over 4% for the year. This resilience has kept this bull market going, and the S&amp;P 500</w:t>
      </w:r>
      <w:r w:rsidR="009B4C96">
        <w:t xml:space="preserve"> is expected</w:t>
      </w:r>
      <w:r>
        <w:t xml:space="preserve"> to potentially post gains by the end of the year. </w:t>
      </w:r>
    </w:p>
    <w:p w:rsidR="00420CCA" w:rsidRPr="00C75320" w:rsidRDefault="00420CCA" w:rsidP="00420CCA">
      <w:r w:rsidRPr="00C75320">
        <w:t xml:space="preserve">Looking ahead to the rest of 2016, </w:t>
      </w:r>
      <w:r w:rsidR="00E96405">
        <w:t>LPL Research</w:t>
      </w:r>
      <w:r w:rsidRPr="00C75320">
        <w:t xml:space="preserve"> maintain</w:t>
      </w:r>
      <w:r w:rsidR="00E96405">
        <w:t>s</w:t>
      </w:r>
      <w:r w:rsidRPr="00C75320">
        <w:t xml:space="preserve"> confidence in </w:t>
      </w:r>
      <w:r w:rsidR="00E96405">
        <w:t>its</w:t>
      </w:r>
      <w:r w:rsidRPr="00C75320">
        <w:t xml:space="preserve"> existing forecasts, with some minor adjustments. </w:t>
      </w:r>
      <w:r w:rsidR="00E96405">
        <w:t>P</w:t>
      </w:r>
      <w:r>
        <w:t xml:space="preserve">eriods of </w:t>
      </w:r>
      <w:r w:rsidRPr="00C75320">
        <w:t xml:space="preserve">volatility </w:t>
      </w:r>
      <w:r w:rsidR="00E96405">
        <w:t xml:space="preserve">are also anticipated </w:t>
      </w:r>
      <w:r w:rsidRPr="00C75320">
        <w:t xml:space="preserve">throughout the rest of this year, but </w:t>
      </w:r>
      <w:r w:rsidR="00E96405">
        <w:t xml:space="preserve">the expectation remains that we will not </w:t>
      </w:r>
      <w:r w:rsidRPr="00C75320">
        <w:t xml:space="preserve">enter a bear market or economic recession. </w:t>
      </w:r>
      <w:r>
        <w:t xml:space="preserve">Here are some of the key influential factors </w:t>
      </w:r>
      <w:r w:rsidR="00E96405">
        <w:t>to</w:t>
      </w:r>
      <w:r>
        <w:t xml:space="preserve"> be watching</w:t>
      </w:r>
      <w:r w:rsidR="00C76538">
        <w:t xml:space="preserve"> for</w:t>
      </w:r>
      <w:r>
        <w:t>:</w:t>
      </w:r>
    </w:p>
    <w:p w:rsidR="00420CCA" w:rsidRPr="00C75320" w:rsidRDefault="00420CCA" w:rsidP="00420CCA">
      <w:pPr>
        <w:pStyle w:val="ListParagraph"/>
        <w:numPr>
          <w:ilvl w:val="0"/>
          <w:numId w:val="1"/>
        </w:numPr>
      </w:pPr>
      <w:r w:rsidRPr="00C75320">
        <w:rPr>
          <w:b/>
        </w:rPr>
        <w:t>Federal Reserve (Fed) rate hikes.</w:t>
      </w:r>
      <w:r w:rsidRPr="00C75320">
        <w:t xml:space="preserve"> </w:t>
      </w:r>
      <w:r w:rsidR="00E96405">
        <w:t>The</w:t>
      </w:r>
      <w:r>
        <w:t xml:space="preserve"> forecast for Fed rate hikes in 2016 </w:t>
      </w:r>
      <w:r w:rsidR="00E96405">
        <w:t xml:space="preserve">has been reduced </w:t>
      </w:r>
      <w:r>
        <w:t>from two to one,</w:t>
      </w:r>
      <w:r w:rsidRPr="00040A16">
        <w:t xml:space="preserve"> with additional rate increases next year.</w:t>
      </w:r>
      <w:r>
        <w:t xml:space="preserve"> </w:t>
      </w:r>
    </w:p>
    <w:p w:rsidR="00420CCA" w:rsidRPr="00C75320" w:rsidRDefault="00420CCA" w:rsidP="00420CCA">
      <w:pPr>
        <w:pStyle w:val="ListParagraph"/>
        <w:numPr>
          <w:ilvl w:val="0"/>
          <w:numId w:val="1"/>
        </w:numPr>
      </w:pPr>
      <w:r w:rsidRPr="00C75320">
        <w:rPr>
          <w:b/>
        </w:rPr>
        <w:t xml:space="preserve">International </w:t>
      </w:r>
      <w:r w:rsidR="00887D44">
        <w:rPr>
          <w:b/>
        </w:rPr>
        <w:t>growth</w:t>
      </w:r>
      <w:r w:rsidR="0019241D">
        <w:rPr>
          <w:b/>
        </w:rPr>
        <w:t xml:space="preserve"> uncertainty</w:t>
      </w:r>
      <w:r w:rsidR="00887D44">
        <w:rPr>
          <w:b/>
        </w:rPr>
        <w:t xml:space="preserve">. </w:t>
      </w:r>
      <w:r w:rsidR="00584F3B">
        <w:t>We are l</w:t>
      </w:r>
      <w:r w:rsidR="00384624">
        <w:t>ooking for</w:t>
      </w:r>
      <w:r w:rsidR="0019241D">
        <w:t xml:space="preserve"> clarity</w:t>
      </w:r>
      <w:r w:rsidR="00887D44">
        <w:t xml:space="preserve"> around future global growth, </w:t>
      </w:r>
      <w:r w:rsidR="0019241D">
        <w:t>due to Brexit</w:t>
      </w:r>
      <w:r w:rsidR="00887D44">
        <w:t xml:space="preserve">, the impact of the U.S. dollar, China’s debt problem, and earnings growth in Europe and Japan. </w:t>
      </w:r>
    </w:p>
    <w:p w:rsidR="00420CCA" w:rsidRPr="00C75320" w:rsidRDefault="00420CCA" w:rsidP="00420CCA">
      <w:pPr>
        <w:pStyle w:val="ListParagraph"/>
        <w:numPr>
          <w:ilvl w:val="0"/>
          <w:numId w:val="1"/>
        </w:numPr>
      </w:pPr>
      <w:r w:rsidRPr="00C75320">
        <w:rPr>
          <w:b/>
        </w:rPr>
        <w:t>Corporate America</w:t>
      </w:r>
      <w:r>
        <w:rPr>
          <w:b/>
        </w:rPr>
        <w:t xml:space="preserve"> investments</w:t>
      </w:r>
      <w:r w:rsidRPr="00C75320">
        <w:rPr>
          <w:b/>
        </w:rPr>
        <w:t>.</w:t>
      </w:r>
      <w:r w:rsidRPr="00C75320">
        <w:t xml:space="preserve"> A pickup in economic growth and </w:t>
      </w:r>
      <w:r>
        <w:t xml:space="preserve">an </w:t>
      </w:r>
      <w:r w:rsidRPr="00C75320">
        <w:t>energy sector turnaround may boost companies’ investments in their future growth, an element that has been lacking recently.</w:t>
      </w:r>
    </w:p>
    <w:p w:rsidR="00420CCA" w:rsidRPr="00C75320" w:rsidRDefault="00C76538" w:rsidP="00420CCA">
      <w:pPr>
        <w:pStyle w:val="ListParagraph"/>
        <w:numPr>
          <w:ilvl w:val="0"/>
          <w:numId w:val="1"/>
        </w:numPr>
      </w:pPr>
      <w:r>
        <w:rPr>
          <w:b/>
        </w:rPr>
        <w:t>S</w:t>
      </w:r>
      <w:r w:rsidR="00420CCA" w:rsidRPr="00C75320">
        <w:rPr>
          <w:b/>
        </w:rPr>
        <w:t>econd</w:t>
      </w:r>
      <w:r w:rsidR="00420CCA">
        <w:rPr>
          <w:b/>
        </w:rPr>
        <w:t xml:space="preserve"> </w:t>
      </w:r>
      <w:r w:rsidR="00420CCA" w:rsidRPr="00C75320">
        <w:rPr>
          <w:b/>
        </w:rPr>
        <w:t>half turnarounds: oil, dollar, earnings.</w:t>
      </w:r>
      <w:r w:rsidR="00420CCA" w:rsidRPr="00C75320">
        <w:t xml:space="preserve"> These three </w:t>
      </w:r>
      <w:r w:rsidR="00420CCA">
        <w:t>turnaround stories</w:t>
      </w:r>
      <w:r w:rsidR="00420CCA" w:rsidRPr="00C75320">
        <w:t xml:space="preserve"> </w:t>
      </w:r>
      <w:r w:rsidR="00420CCA">
        <w:t xml:space="preserve">are </w:t>
      </w:r>
      <w:proofErr w:type="gramStart"/>
      <w:r w:rsidR="00420CCA" w:rsidRPr="00C75320">
        <w:t>key</w:t>
      </w:r>
      <w:proofErr w:type="gramEnd"/>
      <w:r w:rsidR="00420CCA" w:rsidRPr="00C75320">
        <w:t xml:space="preserve"> for the rest of 2016. </w:t>
      </w:r>
      <w:r w:rsidR="00167D34">
        <w:t>Should the</w:t>
      </w:r>
      <w:r w:rsidR="00420CCA" w:rsidRPr="00C75320">
        <w:t xml:space="preserve"> drags</w:t>
      </w:r>
      <w:r w:rsidR="00167D34">
        <w:t xml:space="preserve"> from oil prices and the U.S. dollar continue to</w:t>
      </w:r>
      <w:r w:rsidR="00420CCA" w:rsidRPr="00C75320">
        <w:t xml:space="preserve"> ease, an earnings rebound may occur in the second half of the year.</w:t>
      </w:r>
    </w:p>
    <w:p w:rsidR="00420CCA" w:rsidRDefault="00E96405" w:rsidP="00420CCA">
      <w:r>
        <w:t>T</w:t>
      </w:r>
      <w:r w:rsidRPr="00C75320">
        <w:t xml:space="preserve">he </w:t>
      </w:r>
      <w:r w:rsidRPr="00C75320">
        <w:rPr>
          <w:i/>
        </w:rPr>
        <w:t>LPL Research Midyear Outlook 2016</w:t>
      </w:r>
      <w:r w:rsidRPr="00C75320">
        <w:t xml:space="preserve"> </w:t>
      </w:r>
      <w:r>
        <w:t>provides</w:t>
      </w:r>
      <w:r w:rsidRPr="00C75320">
        <w:t xml:space="preserve"> the </w:t>
      </w:r>
      <w:r>
        <w:t xml:space="preserve">“vote of confidence” that the current economic recovery and bull market may continue through 2016 and beyond, with the </w:t>
      </w:r>
      <w:r w:rsidR="00420CCA" w:rsidRPr="00C75320">
        <w:t>investment insights and market guidance for what may lie ahead for the rest of this year.</w:t>
      </w:r>
    </w:p>
    <w:p w:rsidR="001F760A" w:rsidRDefault="001F760A" w:rsidP="00420CCA">
      <w:r>
        <w:lastRenderedPageBreak/>
        <w:t xml:space="preserve">As always, if you have any questions, I encourage you to contact </w:t>
      </w:r>
      <w:r w:rsidR="00E96405">
        <w:t>me</w:t>
      </w:r>
      <w:r>
        <w:t>.</w:t>
      </w:r>
    </w:p>
    <w:p w:rsidR="001F760A" w:rsidRDefault="001F760A" w:rsidP="00420CCA">
      <w:r>
        <w:t>Sincerely,</w:t>
      </w:r>
    </w:p>
    <w:p w:rsidR="00617542" w:rsidRPr="00617542" w:rsidRDefault="00617542" w:rsidP="00420CCA">
      <w:pPr>
        <w:rPr>
          <w:rFonts w:ascii="Arial" w:hAnsi="Arial" w:cs="Arial"/>
        </w:rPr>
      </w:pPr>
      <w:r w:rsidRPr="00617542">
        <w:rPr>
          <w:rFonts w:ascii="Arial" w:hAnsi="Arial" w:cs="Arial"/>
          <w:b/>
          <w:bCs/>
          <w:sz w:val="32"/>
          <w:szCs w:val="32"/>
        </w:rPr>
        <w:t xml:space="preserve">Rick </w:t>
      </w:r>
      <w:proofErr w:type="spellStart"/>
      <w:r w:rsidRPr="00617542">
        <w:rPr>
          <w:rFonts w:ascii="Arial" w:hAnsi="Arial" w:cs="Arial"/>
          <w:b/>
          <w:bCs/>
          <w:sz w:val="32"/>
          <w:szCs w:val="32"/>
        </w:rPr>
        <w:t>Fisher</w:t>
      </w:r>
      <w:proofErr w:type="gramStart"/>
      <w:r w:rsidRPr="00617542">
        <w:rPr>
          <w:rFonts w:ascii="Arial" w:hAnsi="Arial" w:cs="Arial"/>
        </w:rPr>
        <w:t>,CFP</w:t>
      </w:r>
      <w:proofErr w:type="spellEnd"/>
      <w:proofErr w:type="gramEnd"/>
      <w:r w:rsidRPr="00617542">
        <w:rPr>
          <w:rFonts w:ascii="Arial" w:hAnsi="Arial" w:cs="Arial"/>
          <w:sz w:val="26"/>
          <w:szCs w:val="26"/>
        </w:rPr>
        <w:t>®</w:t>
      </w:r>
    </w:p>
    <w:p w:rsidR="00E96405" w:rsidRDefault="00E96405" w:rsidP="00420CCA"/>
    <w:p w:rsidR="001F760A" w:rsidRPr="008C4471" w:rsidRDefault="001F760A" w:rsidP="001F760A">
      <w:pPr>
        <w:autoSpaceDE w:val="0"/>
        <w:autoSpaceDN w:val="0"/>
        <w:adjustRightInd w:val="0"/>
        <w:rPr>
          <w:rFonts w:cs="Univers-CondensedLight"/>
          <w:color w:val="817F83"/>
          <w:sz w:val="18"/>
          <w:szCs w:val="18"/>
        </w:rPr>
      </w:pPr>
      <w:r w:rsidRPr="008C4471">
        <w:rPr>
          <w:rFonts w:cs="Univers-CondensedLight"/>
          <w:color w:val="817F83"/>
          <w:sz w:val="18"/>
          <w:szCs w:val="18"/>
        </w:rPr>
        <w:t>The opinions voiced in this material are for general information only and are not intended to provide specific advice or recommendations for any individual security. To determine which investment(s) may be appropriate for you, consult your financial advisor prior to investing. All performance referenced is historical and is no guarantee of future results. Indexes are unmanaged and cannot be invested into directly.</w:t>
      </w:r>
    </w:p>
    <w:p w:rsidR="001F760A" w:rsidRPr="008C4471" w:rsidRDefault="001F760A" w:rsidP="001F760A">
      <w:pPr>
        <w:rPr>
          <w:rFonts w:cs="Univers-CondensedLight"/>
          <w:color w:val="817F83"/>
          <w:sz w:val="18"/>
          <w:szCs w:val="18"/>
        </w:rPr>
      </w:pPr>
      <w:r w:rsidRPr="008C4471">
        <w:rPr>
          <w:rFonts w:cs="Univers-CondensedLight"/>
          <w:color w:val="817F83"/>
          <w:sz w:val="18"/>
          <w:szCs w:val="18"/>
        </w:rPr>
        <w:t>Economic forecasts set forth may not develop as predicted.</w:t>
      </w:r>
    </w:p>
    <w:p w:rsidR="004566EC" w:rsidRPr="008C4471" w:rsidRDefault="004566EC" w:rsidP="001F760A">
      <w:pPr>
        <w:rPr>
          <w:bCs/>
          <w:color w:val="808080" w:themeColor="background1" w:themeShade="80"/>
          <w:sz w:val="18"/>
          <w:szCs w:val="18"/>
        </w:rPr>
      </w:pPr>
      <w:r w:rsidRPr="008C4471">
        <w:rPr>
          <w:bCs/>
          <w:color w:val="808080" w:themeColor="background1" w:themeShade="80"/>
          <w:sz w:val="18"/>
          <w:szCs w:val="18"/>
        </w:rPr>
        <w:t>Investing in stock includes numerous specific risks including: the fluctuation of dividend, loss of principal and potential illiquidity of the investment in a falling market.</w:t>
      </w:r>
    </w:p>
    <w:p w:rsidR="004566EC" w:rsidRPr="008C4471" w:rsidRDefault="004566EC" w:rsidP="001F760A">
      <w:pPr>
        <w:rPr>
          <w:rFonts w:cs="Univers-CondensedLight"/>
          <w:color w:val="817F83"/>
          <w:sz w:val="18"/>
          <w:szCs w:val="18"/>
        </w:rPr>
      </w:pPr>
      <w:r w:rsidRPr="008C4471">
        <w:rPr>
          <w:bCs/>
          <w:color w:val="808080" w:themeColor="background1" w:themeShade="80"/>
          <w:sz w:val="18"/>
          <w:szCs w:val="18"/>
        </w:rPr>
        <w:t>Bonds are subject to market and interest rate risk if sold prior to maturity. Bond and bond mutual fund values and yields will decline as interest rates rise and bonds are subject to availability and change in price.</w:t>
      </w:r>
    </w:p>
    <w:p w:rsidR="001F760A" w:rsidRPr="008C4471" w:rsidRDefault="001F760A" w:rsidP="001F760A">
      <w:pPr>
        <w:rPr>
          <w:rFonts w:cs="Univers-CondensedLight"/>
          <w:color w:val="808080" w:themeColor="background1" w:themeShade="80"/>
          <w:sz w:val="18"/>
          <w:szCs w:val="18"/>
        </w:rPr>
      </w:pPr>
      <w:r w:rsidRPr="008C4471">
        <w:rPr>
          <w:rFonts w:cs="Tahoma"/>
          <w:bCs/>
          <w:color w:val="808080" w:themeColor="background1" w:themeShade="80"/>
          <w:sz w:val="18"/>
          <w:szCs w:val="18"/>
        </w:rPr>
        <w:t>The S&amp;P 500 Index is a capitalization-weighted index of 500 stocks designed to measure performance of the broad domestic economy th</w:t>
      </w:r>
      <w:bookmarkStart w:id="0" w:name="_GoBack"/>
      <w:bookmarkEnd w:id="0"/>
      <w:r w:rsidRPr="008C4471">
        <w:rPr>
          <w:rFonts w:cs="Tahoma"/>
          <w:bCs/>
          <w:color w:val="808080" w:themeColor="background1" w:themeShade="80"/>
          <w:sz w:val="18"/>
          <w:szCs w:val="18"/>
        </w:rPr>
        <w:t>rough changes in the aggregate market value of 500 stocks representing all major industries.</w:t>
      </w:r>
    </w:p>
    <w:p w:rsidR="001F760A" w:rsidRPr="008C4471" w:rsidRDefault="001F760A" w:rsidP="001F760A">
      <w:pPr>
        <w:rPr>
          <w:color w:val="808080" w:themeColor="background1" w:themeShade="80"/>
          <w:sz w:val="18"/>
          <w:szCs w:val="18"/>
        </w:rPr>
      </w:pPr>
      <w:r w:rsidRPr="008C4471">
        <w:rPr>
          <w:rFonts w:cs="Univers-CondensedLight"/>
          <w:color w:val="817F83"/>
          <w:sz w:val="18"/>
          <w:szCs w:val="18"/>
        </w:rPr>
        <w:t>This research material has been prepared by LPL Financial LLC.</w:t>
      </w:r>
    </w:p>
    <w:p w:rsidR="001F760A" w:rsidRPr="008C4471" w:rsidRDefault="001F760A" w:rsidP="001F760A">
      <w:pPr>
        <w:rPr>
          <w:sz w:val="18"/>
          <w:szCs w:val="18"/>
        </w:rPr>
      </w:pPr>
      <w:r w:rsidRPr="008C4471">
        <w:rPr>
          <w:rFonts w:cs="Univers-CondensedLight"/>
          <w:color w:val="817F83"/>
          <w:sz w:val="18"/>
          <w:szCs w:val="18"/>
        </w:rPr>
        <w:t xml:space="preserve">Securities offered through LPL Financial LLC. </w:t>
      </w:r>
      <w:proofErr w:type="gramStart"/>
      <w:r w:rsidRPr="008C4471">
        <w:rPr>
          <w:rFonts w:cs="Univers-CondensedLight"/>
          <w:color w:val="817F83"/>
          <w:sz w:val="18"/>
          <w:szCs w:val="18"/>
        </w:rPr>
        <w:t>Member FINRA/SIPC.</w:t>
      </w:r>
      <w:proofErr w:type="gramEnd"/>
    </w:p>
    <w:p w:rsidR="00420CCA" w:rsidRPr="008C4471" w:rsidRDefault="001F760A">
      <w:r w:rsidRPr="008C4471">
        <w:rPr>
          <w:rFonts w:cs="Univers-CondensedLight"/>
          <w:color w:val="808080" w:themeColor="background1" w:themeShade="80"/>
          <w:sz w:val="18"/>
          <w:szCs w:val="18"/>
        </w:rPr>
        <w:t>Tracking # 1-</w:t>
      </w:r>
      <w:r w:rsidR="00367D95" w:rsidRPr="008C4471">
        <w:rPr>
          <w:rFonts w:cs="Univers-CondensedLight"/>
          <w:color w:val="808080" w:themeColor="background1" w:themeShade="80"/>
          <w:sz w:val="18"/>
          <w:szCs w:val="18"/>
        </w:rPr>
        <w:t xml:space="preserve">515364 </w:t>
      </w:r>
      <w:r w:rsidRPr="008C4471">
        <w:rPr>
          <w:rFonts w:cs="Univers-CondensedLight"/>
          <w:color w:val="808080" w:themeColor="background1" w:themeShade="80"/>
          <w:sz w:val="18"/>
          <w:szCs w:val="18"/>
        </w:rPr>
        <w:t>(Exp. 07/17</w:t>
      </w:r>
      <w:r w:rsidR="00752723" w:rsidRPr="008C4471">
        <w:rPr>
          <w:rFonts w:cs="Univers-CondensedLight"/>
          <w:color w:val="808080" w:themeColor="background1" w:themeShade="80"/>
          <w:sz w:val="18"/>
          <w:szCs w:val="18"/>
        </w:rPr>
        <w:t>)</w:t>
      </w:r>
    </w:p>
    <w:sectPr w:rsidR="00420CCA" w:rsidRPr="008C4471" w:rsidSect="008D19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D27" w:rsidRDefault="00705D27" w:rsidP="0048719E">
      <w:pPr>
        <w:spacing w:after="0" w:line="240" w:lineRule="auto"/>
      </w:pPr>
      <w:r>
        <w:separator/>
      </w:r>
    </w:p>
  </w:endnote>
  <w:endnote w:type="continuationSeparator" w:id="0">
    <w:p w:rsidR="00705D27" w:rsidRDefault="00705D27" w:rsidP="00487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CondensedLigh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D27" w:rsidRDefault="00705D27" w:rsidP="0048719E">
      <w:pPr>
        <w:spacing w:after="0" w:line="240" w:lineRule="auto"/>
      </w:pPr>
      <w:r>
        <w:separator/>
      </w:r>
    </w:p>
  </w:footnote>
  <w:footnote w:type="continuationSeparator" w:id="0">
    <w:p w:rsidR="00705D27" w:rsidRDefault="00705D27" w:rsidP="00487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63C3"/>
    <w:multiLevelType w:val="hybridMultilevel"/>
    <w:tmpl w:val="E3AE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A52A20"/>
    <w:rsid w:val="00167D34"/>
    <w:rsid w:val="0019241D"/>
    <w:rsid w:val="001F760A"/>
    <w:rsid w:val="00254C45"/>
    <w:rsid w:val="0033481B"/>
    <w:rsid w:val="00367D95"/>
    <w:rsid w:val="00384624"/>
    <w:rsid w:val="00420CCA"/>
    <w:rsid w:val="004566EC"/>
    <w:rsid w:val="0048719E"/>
    <w:rsid w:val="004A6E92"/>
    <w:rsid w:val="00584F3B"/>
    <w:rsid w:val="00617542"/>
    <w:rsid w:val="00705D27"/>
    <w:rsid w:val="00752723"/>
    <w:rsid w:val="007A4F76"/>
    <w:rsid w:val="00887D44"/>
    <w:rsid w:val="008C4471"/>
    <w:rsid w:val="008D19FE"/>
    <w:rsid w:val="009B4C96"/>
    <w:rsid w:val="00A52A20"/>
    <w:rsid w:val="00C76538"/>
    <w:rsid w:val="00CA0C78"/>
    <w:rsid w:val="00CB3F55"/>
    <w:rsid w:val="00D775CE"/>
    <w:rsid w:val="00E25753"/>
    <w:rsid w:val="00E96405"/>
    <w:rsid w:val="00F20D12"/>
    <w:rsid w:val="00F37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CCA"/>
    <w:pPr>
      <w:ind w:left="720"/>
      <w:contextualSpacing/>
    </w:pPr>
  </w:style>
  <w:style w:type="character" w:styleId="CommentReference">
    <w:name w:val="annotation reference"/>
    <w:basedOn w:val="DefaultParagraphFont"/>
    <w:uiPriority w:val="99"/>
    <w:semiHidden/>
    <w:unhideWhenUsed/>
    <w:rsid w:val="00CA0C78"/>
    <w:rPr>
      <w:sz w:val="16"/>
      <w:szCs w:val="16"/>
    </w:rPr>
  </w:style>
  <w:style w:type="paragraph" w:styleId="CommentText">
    <w:name w:val="annotation text"/>
    <w:basedOn w:val="Normal"/>
    <w:link w:val="CommentTextChar"/>
    <w:uiPriority w:val="99"/>
    <w:semiHidden/>
    <w:unhideWhenUsed/>
    <w:rsid w:val="00CA0C78"/>
    <w:pPr>
      <w:spacing w:line="240" w:lineRule="auto"/>
    </w:pPr>
    <w:rPr>
      <w:sz w:val="20"/>
      <w:szCs w:val="20"/>
    </w:rPr>
  </w:style>
  <w:style w:type="character" w:customStyle="1" w:styleId="CommentTextChar">
    <w:name w:val="Comment Text Char"/>
    <w:basedOn w:val="DefaultParagraphFont"/>
    <w:link w:val="CommentText"/>
    <w:uiPriority w:val="99"/>
    <w:semiHidden/>
    <w:rsid w:val="00CA0C78"/>
    <w:rPr>
      <w:sz w:val="20"/>
      <w:szCs w:val="20"/>
    </w:rPr>
  </w:style>
  <w:style w:type="paragraph" w:styleId="CommentSubject">
    <w:name w:val="annotation subject"/>
    <w:basedOn w:val="CommentText"/>
    <w:next w:val="CommentText"/>
    <w:link w:val="CommentSubjectChar"/>
    <w:uiPriority w:val="99"/>
    <w:semiHidden/>
    <w:unhideWhenUsed/>
    <w:rsid w:val="00CA0C78"/>
    <w:rPr>
      <w:b/>
      <w:bCs/>
    </w:rPr>
  </w:style>
  <w:style w:type="character" w:customStyle="1" w:styleId="CommentSubjectChar">
    <w:name w:val="Comment Subject Char"/>
    <w:basedOn w:val="CommentTextChar"/>
    <w:link w:val="CommentSubject"/>
    <w:uiPriority w:val="99"/>
    <w:semiHidden/>
    <w:rsid w:val="00CA0C78"/>
    <w:rPr>
      <w:b/>
      <w:bCs/>
      <w:sz w:val="20"/>
      <w:szCs w:val="20"/>
    </w:rPr>
  </w:style>
  <w:style w:type="paragraph" w:styleId="BalloonText">
    <w:name w:val="Balloon Text"/>
    <w:basedOn w:val="Normal"/>
    <w:link w:val="BalloonTextChar"/>
    <w:uiPriority w:val="99"/>
    <w:semiHidden/>
    <w:unhideWhenUsed/>
    <w:rsid w:val="00CA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C78"/>
    <w:rPr>
      <w:rFonts w:ascii="Tahoma" w:hAnsi="Tahoma" w:cs="Tahoma"/>
      <w:sz w:val="16"/>
      <w:szCs w:val="16"/>
    </w:rPr>
  </w:style>
  <w:style w:type="paragraph" w:styleId="Header">
    <w:name w:val="header"/>
    <w:basedOn w:val="Normal"/>
    <w:link w:val="HeaderChar"/>
    <w:uiPriority w:val="99"/>
    <w:unhideWhenUsed/>
    <w:rsid w:val="00487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19E"/>
  </w:style>
  <w:style w:type="paragraph" w:styleId="Footer">
    <w:name w:val="footer"/>
    <w:basedOn w:val="Normal"/>
    <w:link w:val="FooterChar"/>
    <w:uiPriority w:val="99"/>
    <w:unhideWhenUsed/>
    <w:rsid w:val="00487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CCA"/>
    <w:pPr>
      <w:ind w:left="720"/>
      <w:contextualSpacing/>
    </w:pPr>
  </w:style>
  <w:style w:type="character" w:styleId="CommentReference">
    <w:name w:val="annotation reference"/>
    <w:basedOn w:val="DefaultParagraphFont"/>
    <w:uiPriority w:val="99"/>
    <w:semiHidden/>
    <w:unhideWhenUsed/>
    <w:rsid w:val="00CA0C78"/>
    <w:rPr>
      <w:sz w:val="16"/>
      <w:szCs w:val="16"/>
    </w:rPr>
  </w:style>
  <w:style w:type="paragraph" w:styleId="CommentText">
    <w:name w:val="annotation text"/>
    <w:basedOn w:val="Normal"/>
    <w:link w:val="CommentTextChar"/>
    <w:uiPriority w:val="99"/>
    <w:semiHidden/>
    <w:unhideWhenUsed/>
    <w:rsid w:val="00CA0C78"/>
    <w:pPr>
      <w:spacing w:line="240" w:lineRule="auto"/>
    </w:pPr>
    <w:rPr>
      <w:sz w:val="20"/>
      <w:szCs w:val="20"/>
    </w:rPr>
  </w:style>
  <w:style w:type="character" w:customStyle="1" w:styleId="CommentTextChar">
    <w:name w:val="Comment Text Char"/>
    <w:basedOn w:val="DefaultParagraphFont"/>
    <w:link w:val="CommentText"/>
    <w:uiPriority w:val="99"/>
    <w:semiHidden/>
    <w:rsid w:val="00CA0C78"/>
    <w:rPr>
      <w:sz w:val="20"/>
      <w:szCs w:val="20"/>
    </w:rPr>
  </w:style>
  <w:style w:type="paragraph" w:styleId="CommentSubject">
    <w:name w:val="annotation subject"/>
    <w:basedOn w:val="CommentText"/>
    <w:next w:val="CommentText"/>
    <w:link w:val="CommentSubjectChar"/>
    <w:uiPriority w:val="99"/>
    <w:semiHidden/>
    <w:unhideWhenUsed/>
    <w:rsid w:val="00CA0C78"/>
    <w:rPr>
      <w:b/>
      <w:bCs/>
    </w:rPr>
  </w:style>
  <w:style w:type="character" w:customStyle="1" w:styleId="CommentSubjectChar">
    <w:name w:val="Comment Subject Char"/>
    <w:basedOn w:val="CommentTextChar"/>
    <w:link w:val="CommentSubject"/>
    <w:uiPriority w:val="99"/>
    <w:semiHidden/>
    <w:rsid w:val="00CA0C78"/>
    <w:rPr>
      <w:b/>
      <w:bCs/>
      <w:sz w:val="20"/>
      <w:szCs w:val="20"/>
    </w:rPr>
  </w:style>
  <w:style w:type="paragraph" w:styleId="BalloonText">
    <w:name w:val="Balloon Text"/>
    <w:basedOn w:val="Normal"/>
    <w:link w:val="BalloonTextChar"/>
    <w:uiPriority w:val="99"/>
    <w:semiHidden/>
    <w:unhideWhenUsed/>
    <w:rsid w:val="00CA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C78"/>
    <w:rPr>
      <w:rFonts w:ascii="Tahoma" w:hAnsi="Tahoma" w:cs="Tahoma"/>
      <w:sz w:val="16"/>
      <w:szCs w:val="16"/>
    </w:rPr>
  </w:style>
  <w:style w:type="paragraph" w:styleId="Header">
    <w:name w:val="header"/>
    <w:basedOn w:val="Normal"/>
    <w:link w:val="HeaderChar"/>
    <w:uiPriority w:val="99"/>
    <w:unhideWhenUsed/>
    <w:rsid w:val="00487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19E"/>
  </w:style>
  <w:style w:type="paragraph" w:styleId="Footer">
    <w:name w:val="footer"/>
    <w:basedOn w:val="Normal"/>
    <w:link w:val="FooterChar"/>
    <w:uiPriority w:val="99"/>
    <w:unhideWhenUsed/>
    <w:rsid w:val="00487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19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LPL Financial</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McDonald</dc:creator>
  <cp:lastModifiedBy>Ross Hughes</cp:lastModifiedBy>
  <cp:revision>2</cp:revision>
  <dcterms:created xsi:type="dcterms:W3CDTF">2016-08-01T14:28:00Z</dcterms:created>
  <dcterms:modified xsi:type="dcterms:W3CDTF">2016-08-01T14:28:00Z</dcterms:modified>
</cp:coreProperties>
</file>