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0299" w14:textId="072E87C5" w:rsidR="00A863A7" w:rsidRDefault="007875AB" w:rsidP="007875AB">
      <w:r w:rsidRPr="007875AB">
        <w:rPr>
          <w:noProof/>
        </w:rPr>
        <w:drawing>
          <wp:inline distT="0" distB="0" distL="0" distR="0" wp14:anchorId="1F1B4F82" wp14:editId="75C5F7E1">
            <wp:extent cx="1857375" cy="647700"/>
            <wp:effectExtent l="0" t="0" r="9525" b="0"/>
            <wp:docPr id="93438889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88896" name="Picture 1" descr="A close up of a logo&#10;&#10;Description automatically generated"/>
                    <pic:cNvPicPr/>
                  </pic:nvPicPr>
                  <pic:blipFill>
                    <a:blip r:embed="rId5"/>
                    <a:stretch>
                      <a:fillRect/>
                    </a:stretch>
                  </pic:blipFill>
                  <pic:spPr>
                    <a:xfrm>
                      <a:off x="0" y="0"/>
                      <a:ext cx="1857375" cy="647700"/>
                    </a:xfrm>
                    <a:prstGeom prst="rect">
                      <a:avLst/>
                    </a:prstGeom>
                  </pic:spPr>
                </pic:pic>
              </a:graphicData>
            </a:graphic>
          </wp:inline>
        </w:drawing>
      </w:r>
    </w:p>
    <w:p w14:paraId="322B030A" w14:textId="653A03F2" w:rsidR="006A3DE7" w:rsidRPr="004E5A3A" w:rsidRDefault="004E5A3A" w:rsidP="00075305">
      <w:pPr>
        <w:rPr>
          <w:rFonts w:ascii="Open Sans" w:hAnsi="Open Sans" w:cs="Open Sans"/>
          <w:sz w:val="18"/>
          <w:szCs w:val="18"/>
        </w:rPr>
      </w:pPr>
      <w:r w:rsidRPr="004E5A3A">
        <w:rPr>
          <w:rFonts w:ascii="Open Sans" w:hAnsi="Open Sans" w:cs="Open Sans"/>
          <w:sz w:val="18"/>
          <w:szCs w:val="18"/>
        </w:rPr>
        <w:t>June 4</w:t>
      </w:r>
      <w:r w:rsidR="006A3DE7" w:rsidRPr="004E5A3A">
        <w:rPr>
          <w:rFonts w:ascii="Open Sans" w:hAnsi="Open Sans" w:cs="Open Sans"/>
          <w:sz w:val="18"/>
          <w:szCs w:val="18"/>
        </w:rPr>
        <w:t>, 2024</w:t>
      </w:r>
    </w:p>
    <w:p w14:paraId="55F33271" w14:textId="2D51B21E" w:rsidR="00075305" w:rsidRPr="004E5A3A" w:rsidRDefault="00075305" w:rsidP="00075305">
      <w:pPr>
        <w:rPr>
          <w:rFonts w:ascii="Open Sans" w:hAnsi="Open Sans" w:cs="Open Sans"/>
          <w:sz w:val="18"/>
          <w:szCs w:val="18"/>
        </w:rPr>
      </w:pPr>
      <w:r w:rsidRPr="004E5A3A">
        <w:rPr>
          <w:rFonts w:ascii="Open Sans" w:hAnsi="Open Sans" w:cs="Open Sans"/>
          <w:sz w:val="18"/>
          <w:szCs w:val="18"/>
        </w:rPr>
        <w:t>Dear Valued Investor,</w:t>
      </w:r>
    </w:p>
    <w:p w14:paraId="3AA115E3" w14:textId="77777777" w:rsidR="004E5A3A" w:rsidRPr="004E5A3A" w:rsidRDefault="004E5A3A" w:rsidP="004E5A3A">
      <w:pPr>
        <w:rPr>
          <w:rFonts w:ascii="Open Sans" w:hAnsi="Open Sans" w:cs="Open Sans"/>
          <w:sz w:val="18"/>
          <w:szCs w:val="18"/>
        </w:rPr>
      </w:pPr>
      <w:r w:rsidRPr="004E5A3A">
        <w:rPr>
          <w:rFonts w:ascii="Open Sans" w:hAnsi="Open Sans" w:cs="Open Sans"/>
          <w:sz w:val="18"/>
          <w:szCs w:val="18"/>
        </w:rPr>
        <w:t>As June begins, markets continue to navigate a complex landscape shaped by trade policy shifts, an uncertain economic and earnings outlook, and bond market headwinds. Several key developments in recent weeks may have implications for markets:</w:t>
      </w:r>
    </w:p>
    <w:p w14:paraId="3F269541" w14:textId="42F0CE6C" w:rsidR="004E5A3A" w:rsidRPr="004E5A3A" w:rsidRDefault="004E5A3A" w:rsidP="004E5A3A">
      <w:pPr>
        <w:pStyle w:val="ListParagraph"/>
        <w:numPr>
          <w:ilvl w:val="0"/>
          <w:numId w:val="5"/>
        </w:numPr>
        <w:rPr>
          <w:rFonts w:ascii="Open Sans" w:hAnsi="Open Sans" w:cs="Open Sans"/>
          <w:sz w:val="18"/>
          <w:szCs w:val="18"/>
        </w:rPr>
      </w:pPr>
      <w:r w:rsidRPr="004E5A3A">
        <w:rPr>
          <w:rFonts w:ascii="Open Sans" w:hAnsi="Open Sans" w:cs="Open Sans"/>
          <w:b/>
          <w:bCs/>
          <w:sz w:val="18"/>
          <w:szCs w:val="18"/>
        </w:rPr>
        <w:t>Trade Policy in Flux.</w:t>
      </w:r>
      <w:r w:rsidRPr="004E5A3A">
        <w:rPr>
          <w:rFonts w:ascii="Open Sans" w:hAnsi="Open Sans" w:cs="Open Sans"/>
          <w:sz w:val="18"/>
          <w:szCs w:val="18"/>
        </w:rPr>
        <w:t xml:space="preserve"> The May 28 court ruling blocking most of President Trump’s tariffs has introduced some additional uncertainty for investors. The administration has other legal avenues to pursue if needed and will likely be able to maintain tariffs at levels consistent with prior expectations. Rising tensions with China surrounding critical mineral exports and Taiwan in recent days serve as a reminder for investors that geopolitical risk remains elevated.</w:t>
      </w:r>
      <w:r w:rsidRPr="004E5A3A">
        <w:rPr>
          <w:rFonts w:ascii="Open Sans" w:hAnsi="Open Sans" w:cs="Open Sans"/>
          <w:sz w:val="18"/>
          <w:szCs w:val="18"/>
        </w:rPr>
        <w:br/>
      </w:r>
    </w:p>
    <w:p w14:paraId="18140A22" w14:textId="53D56E5A" w:rsidR="004E5A3A" w:rsidRPr="004E5A3A" w:rsidRDefault="004E5A3A" w:rsidP="004E5A3A">
      <w:pPr>
        <w:pStyle w:val="ListParagraph"/>
        <w:numPr>
          <w:ilvl w:val="0"/>
          <w:numId w:val="5"/>
        </w:numPr>
        <w:rPr>
          <w:rFonts w:ascii="Open Sans" w:hAnsi="Open Sans" w:cs="Open Sans"/>
          <w:sz w:val="18"/>
          <w:szCs w:val="18"/>
        </w:rPr>
      </w:pPr>
      <w:r w:rsidRPr="004E5A3A">
        <w:rPr>
          <w:rFonts w:ascii="Open Sans" w:hAnsi="Open Sans" w:cs="Open Sans"/>
          <w:b/>
          <w:bCs/>
          <w:sz w:val="18"/>
          <w:szCs w:val="18"/>
        </w:rPr>
        <w:t>Solid Earnings Results, But Caution Ahead.</w:t>
      </w:r>
      <w:r w:rsidRPr="004E5A3A">
        <w:rPr>
          <w:rFonts w:ascii="Open Sans" w:hAnsi="Open Sans" w:cs="Open Sans"/>
          <w:sz w:val="18"/>
          <w:szCs w:val="18"/>
        </w:rPr>
        <w:t xml:space="preserve"> First quarter earnings season delivered broadly positive results, with nearly 80% of companies exceeding analysts’ expectations. Mega-cap technology companies (the so-called Magnificent Seven) drove nearly half of the 13% S&amp;P 500 earnings per share growth. While the results were strong, they may not be enough to sustain the recent market rally given limited visibility into the economic and profit backdrop for the second half of the year.</w:t>
      </w:r>
      <w:r w:rsidRPr="004E5A3A">
        <w:rPr>
          <w:rFonts w:ascii="Open Sans" w:hAnsi="Open Sans" w:cs="Open Sans"/>
          <w:sz w:val="18"/>
          <w:szCs w:val="18"/>
        </w:rPr>
        <w:br/>
      </w:r>
    </w:p>
    <w:p w14:paraId="72340858" w14:textId="513108A9" w:rsidR="004E5A3A" w:rsidRPr="004E5A3A" w:rsidRDefault="004E5A3A" w:rsidP="004E5A3A">
      <w:pPr>
        <w:pStyle w:val="ListParagraph"/>
        <w:numPr>
          <w:ilvl w:val="0"/>
          <w:numId w:val="5"/>
        </w:numPr>
        <w:rPr>
          <w:rFonts w:ascii="Open Sans" w:hAnsi="Open Sans" w:cs="Open Sans"/>
          <w:sz w:val="18"/>
          <w:szCs w:val="18"/>
        </w:rPr>
      </w:pPr>
      <w:r w:rsidRPr="004E5A3A">
        <w:rPr>
          <w:rFonts w:ascii="Open Sans" w:hAnsi="Open Sans" w:cs="Open Sans"/>
          <w:b/>
          <w:bCs/>
          <w:sz w:val="18"/>
          <w:szCs w:val="18"/>
        </w:rPr>
        <w:t>Stock Valuations May Reflect Too Much Optimism.</w:t>
      </w:r>
      <w:r w:rsidRPr="004E5A3A">
        <w:rPr>
          <w:rFonts w:ascii="Open Sans" w:hAnsi="Open Sans" w:cs="Open Sans"/>
          <w:sz w:val="18"/>
          <w:szCs w:val="18"/>
        </w:rPr>
        <w:t xml:space="preserve"> Markets continue to price in limited impact from tariffs, highlighting the fragility of the latest rally. That doesn’t mean the broad market can’t reach new highs this year, but it will likely take some pleasant surprises to help overcome tariff-driven pressures on inflation and profit margins. It would help investor sentiment if trade uncertainty cleared up so the focus could shift toward the tax bill currently in Congress. Whatever your view is on tariffs, there is no doubt that tariff revenue — if preserved — will be helpful in getting the 2017 tax cuts extended. </w:t>
      </w:r>
      <w:r w:rsidRPr="004E5A3A">
        <w:rPr>
          <w:rFonts w:ascii="Open Sans" w:hAnsi="Open Sans" w:cs="Open Sans"/>
          <w:sz w:val="18"/>
          <w:szCs w:val="18"/>
        </w:rPr>
        <w:br/>
      </w:r>
    </w:p>
    <w:p w14:paraId="39F2BD88" w14:textId="47C8821A" w:rsidR="004E5A3A" w:rsidRPr="004E5A3A" w:rsidRDefault="004E5A3A" w:rsidP="004E5A3A">
      <w:pPr>
        <w:pStyle w:val="ListParagraph"/>
        <w:numPr>
          <w:ilvl w:val="0"/>
          <w:numId w:val="5"/>
        </w:numPr>
        <w:rPr>
          <w:rFonts w:ascii="Open Sans" w:hAnsi="Open Sans" w:cs="Open Sans"/>
          <w:sz w:val="18"/>
          <w:szCs w:val="18"/>
        </w:rPr>
      </w:pPr>
      <w:r w:rsidRPr="004E5A3A">
        <w:rPr>
          <w:rFonts w:ascii="Open Sans" w:hAnsi="Open Sans" w:cs="Open Sans"/>
          <w:b/>
          <w:bCs/>
          <w:sz w:val="18"/>
          <w:szCs w:val="18"/>
        </w:rPr>
        <w:t>Bond Market Headwinds Persist.</w:t>
      </w:r>
      <w:r w:rsidRPr="004E5A3A">
        <w:rPr>
          <w:rFonts w:ascii="Open Sans" w:hAnsi="Open Sans" w:cs="Open Sans"/>
          <w:sz w:val="18"/>
          <w:szCs w:val="18"/>
        </w:rPr>
        <w:t xml:space="preserve"> The Treasury market is facing several headwinds. The prospects of tariff-driven inflation, our lack of fiscal restraint, reduced demand from foreign buyers, higher non-U.S. yields, and a resilient U.S. economy are just some of the factors putting upward pressure on yields. Ultimately, Treasury yields are primarily a function of growth and inflation expectations, so until the economic data softens, Treasury market volatility is probably here to stay.</w:t>
      </w:r>
    </w:p>
    <w:p w14:paraId="305DE97E" w14:textId="77777777" w:rsidR="004E5A3A" w:rsidRPr="004E5A3A" w:rsidRDefault="004E5A3A" w:rsidP="004E5A3A">
      <w:pPr>
        <w:rPr>
          <w:rFonts w:ascii="Open Sans" w:hAnsi="Open Sans" w:cs="Open Sans"/>
          <w:sz w:val="18"/>
          <w:szCs w:val="18"/>
        </w:rPr>
      </w:pPr>
      <w:r w:rsidRPr="004E5A3A">
        <w:rPr>
          <w:rFonts w:ascii="Open Sans" w:hAnsi="Open Sans" w:cs="Open Sans"/>
          <w:sz w:val="18"/>
          <w:szCs w:val="18"/>
        </w:rPr>
        <w:t>As we move further into the summer months, key catalysts to watch include inflation data, further developments in trade negotiations, central bank commentary, and progress on the tax bill. Meanwhile, corporate America’s sales and profit margins will garner increasing support from artificial intelligence in the quarters and years ahead. We encourage long-term investors to watch for opportunities to add equities on dips, though periodic bouts of market volatility are to be expected until there is greater clarity on trade.</w:t>
      </w:r>
    </w:p>
    <w:p w14:paraId="0E1D640F" w14:textId="77777777" w:rsidR="004E5A3A" w:rsidRPr="004E5A3A" w:rsidRDefault="004E5A3A" w:rsidP="004E5A3A">
      <w:pPr>
        <w:rPr>
          <w:rFonts w:ascii="Open Sans" w:hAnsi="Open Sans" w:cs="Open Sans"/>
          <w:sz w:val="18"/>
          <w:szCs w:val="18"/>
        </w:rPr>
      </w:pPr>
      <w:r w:rsidRPr="004E5A3A">
        <w:rPr>
          <w:rFonts w:ascii="Open Sans" w:hAnsi="Open Sans" w:cs="Open Sans"/>
          <w:sz w:val="18"/>
          <w:szCs w:val="18"/>
        </w:rPr>
        <w:t>Thank you for your continued trust.</w:t>
      </w:r>
    </w:p>
    <w:p w14:paraId="7C10D841" w14:textId="61261C6D" w:rsidR="00EC37DB" w:rsidRPr="004E5A3A" w:rsidRDefault="00EC37DB" w:rsidP="004E5A3A">
      <w:pPr>
        <w:rPr>
          <w:rFonts w:ascii="Open Sans" w:hAnsi="Open Sans" w:cs="Open Sans"/>
          <w:sz w:val="18"/>
          <w:szCs w:val="18"/>
        </w:rPr>
      </w:pPr>
      <w:r w:rsidRPr="004E5A3A">
        <w:rPr>
          <w:rFonts w:ascii="Open Sans" w:hAnsi="Open Sans" w:cs="Open Sans"/>
          <w:sz w:val="18"/>
          <w:szCs w:val="18"/>
        </w:rPr>
        <w:t>Sincerely,</w:t>
      </w:r>
    </w:p>
    <w:p w14:paraId="73312B36" w14:textId="4A755FE1" w:rsidR="007875AB" w:rsidRPr="007875AB" w:rsidRDefault="007875AB" w:rsidP="007875AB">
      <w:pPr>
        <w:spacing w:line="240" w:lineRule="auto"/>
        <w:rPr>
          <w:b/>
          <w:bCs/>
          <w:sz w:val="28"/>
          <w:szCs w:val="28"/>
        </w:rPr>
      </w:pPr>
      <w:r w:rsidRPr="007875AB">
        <w:rPr>
          <w:b/>
          <w:bCs/>
          <w:sz w:val="32"/>
          <w:szCs w:val="32"/>
        </w:rPr>
        <w:t>Rick Fisher, CFP®</w:t>
      </w:r>
    </w:p>
    <w:p w14:paraId="0287C94A" w14:textId="35B61F70" w:rsidR="004E5A3A" w:rsidRPr="004E5A3A" w:rsidRDefault="00626CB0" w:rsidP="004E5A3A">
      <w:pPr>
        <w:rPr>
          <w:b/>
          <w:bCs/>
          <w:sz w:val="18"/>
          <w:szCs w:val="18"/>
        </w:rPr>
      </w:pPr>
      <w:r w:rsidRPr="004E5A3A">
        <w:rPr>
          <w:b/>
          <w:bCs/>
          <w:sz w:val="18"/>
          <w:szCs w:val="18"/>
        </w:rPr>
        <w:br w:type="page"/>
      </w:r>
      <w:r w:rsidR="004E5A3A" w:rsidRPr="004E5A3A">
        <w:rPr>
          <w:rFonts w:cs="Univers 47 CondensedLight"/>
          <w:b/>
          <w:bCs/>
          <w:color w:val="000000"/>
          <w:sz w:val="18"/>
          <w:szCs w:val="18"/>
        </w:rPr>
        <w:lastRenderedPageBreak/>
        <w:t>Important Information</w:t>
      </w:r>
    </w:p>
    <w:p w14:paraId="2E41C240"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 xml:space="preserve">This material is for general information only and is not intended to provide specific advice or recommendations for any individual. There is no assurance that the views or strategies discussed are suitable for all investors or will yield positive outcomes. Investing involves risks including possible loss of principal. Any economic forecasts set forth may not develop as predicted and are subject to change. </w:t>
      </w:r>
    </w:p>
    <w:p w14:paraId="2BC5DBBA"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References to markets, asset classes, and sectors are generally regarding the corresponding market index. Indexes are unmanaged statistical composites and cannot be invested into directly. Index performance is not indicative of the performance of any investment and do not reflect fees, expenses, or sales charges. All performance referenced is historical and is no guarantee of future results.</w:t>
      </w:r>
    </w:p>
    <w:p w14:paraId="608B2F88"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All data is provided as of June 4, 2025.</w:t>
      </w:r>
    </w:p>
    <w:p w14:paraId="56AB60C0"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 xml:space="preserve">Any company names noted herein are for educational purposes only and not an indication of trading intent or a solicitation of their products or services. LPL Financial doesn’t provide research on individual equities. </w:t>
      </w:r>
    </w:p>
    <w:p w14:paraId="07AB989E"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All index data from FactSet.</w:t>
      </w:r>
    </w:p>
    <w:p w14:paraId="5D0AAA55"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 xml:space="preserve">The Standard &amp; Poor’s 500 Index (S&amp;P500) is a capitalization-weighted index of 500 stocks designed to measure performance of the broad domestic economy through changes in the aggregate market value of 500 stocks representing all major industries. </w:t>
      </w:r>
    </w:p>
    <w:p w14:paraId="7D355CE9"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Bonds are subject to market and interest rate risk if sold prior to maturity. Bond values will decline as interest rates rise and bonds are subject to availability and change in price.</w:t>
      </w:r>
    </w:p>
    <w:p w14:paraId="033A5547"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There is no guarantee that a diversified portfolio will enhance overall returns or outperform a non-diversified portfolio. Diversification does not protect against market risk.</w:t>
      </w:r>
    </w:p>
    <w:p w14:paraId="6FE6375E"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Past performance does not guarantee future results.</w:t>
      </w:r>
    </w:p>
    <w:p w14:paraId="6DE7024A"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Asset allocation does not ensure a profit or protect against a loss.</w:t>
      </w:r>
    </w:p>
    <w:p w14:paraId="524FCC70" w14:textId="77777777"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color w:val="000000"/>
          <w:sz w:val="16"/>
          <w:szCs w:val="16"/>
        </w:rPr>
        <w:t>This research material was prepared by LPL Financial, LLC.</w:t>
      </w:r>
    </w:p>
    <w:p w14:paraId="4C027E59" w14:textId="1A4AFD23" w:rsidR="004E5A3A" w:rsidRPr="004E5A3A" w:rsidRDefault="004E5A3A" w:rsidP="004E5A3A">
      <w:pPr>
        <w:spacing w:line="240" w:lineRule="auto"/>
        <w:rPr>
          <w:rFonts w:ascii="Open Sans" w:hAnsi="Open Sans" w:cs="Open Sans"/>
          <w:i/>
          <w:iCs/>
          <w:color w:val="000000"/>
          <w:sz w:val="16"/>
          <w:szCs w:val="16"/>
        </w:rPr>
      </w:pPr>
      <w:r w:rsidRPr="004E5A3A">
        <w:rPr>
          <w:rFonts w:ascii="Open Sans" w:hAnsi="Open Sans" w:cs="Open Sans"/>
          <w:i/>
          <w:iCs/>
          <w:noProof/>
          <w:color w:val="000000"/>
          <w:sz w:val="16"/>
          <w:szCs w:val="16"/>
        </w:rPr>
        <w:drawing>
          <wp:inline distT="0" distB="0" distL="0" distR="0" wp14:anchorId="49DDD8B8" wp14:editId="234D74DE">
            <wp:extent cx="5943600" cy="694690"/>
            <wp:effectExtent l="0" t="0" r="0" b="0"/>
            <wp:docPr id="1396013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13655" name="Picture 1396013655"/>
                    <pic:cNvPicPr/>
                  </pic:nvPicPr>
                  <pic:blipFill>
                    <a:blip r:embed="rId6">
                      <a:extLst>
                        <a:ext uri="{28A0092B-C50C-407E-A947-70E740481C1C}">
                          <a14:useLocalDpi xmlns:a14="http://schemas.microsoft.com/office/drawing/2010/main" val="0"/>
                        </a:ext>
                      </a:extLst>
                    </a:blip>
                    <a:stretch>
                      <a:fillRect/>
                    </a:stretch>
                  </pic:blipFill>
                  <pic:spPr>
                    <a:xfrm>
                      <a:off x="0" y="0"/>
                      <a:ext cx="5943600" cy="694690"/>
                    </a:xfrm>
                    <a:prstGeom prst="rect">
                      <a:avLst/>
                    </a:prstGeom>
                  </pic:spPr>
                </pic:pic>
              </a:graphicData>
            </a:graphic>
          </wp:inline>
        </w:drawing>
      </w:r>
    </w:p>
    <w:p w14:paraId="7389DF37" w14:textId="16B602FD" w:rsidR="00075305" w:rsidRPr="004E5A3A" w:rsidRDefault="004E5A3A" w:rsidP="004E5A3A">
      <w:pPr>
        <w:spacing w:line="240" w:lineRule="auto"/>
        <w:rPr>
          <w:rFonts w:ascii="Open Sans" w:hAnsi="Open Sans" w:cs="Open Sans"/>
          <w:i/>
          <w:iCs/>
          <w:sz w:val="16"/>
          <w:szCs w:val="16"/>
          <w:lang w:val="en"/>
        </w:rPr>
      </w:pPr>
      <w:r w:rsidRPr="004E5A3A">
        <w:rPr>
          <w:rFonts w:ascii="Open Sans" w:hAnsi="Open Sans" w:cs="Open Sans"/>
          <w:i/>
          <w:iCs/>
          <w:color w:val="000000"/>
          <w:sz w:val="16"/>
          <w:szCs w:val="16"/>
        </w:rPr>
        <w:t>RES-0004481-0525 | For Public Use | Tracking #749000 | #749001 (Exp. 06/2026)</w:t>
      </w:r>
    </w:p>
    <w:p w14:paraId="2EB5A5E0" w14:textId="77777777" w:rsidR="007875AB" w:rsidRPr="007875AB" w:rsidRDefault="007875AB" w:rsidP="00075305">
      <w:pPr>
        <w:spacing w:line="240" w:lineRule="auto"/>
      </w:pPr>
    </w:p>
    <w:sectPr w:rsidR="007875AB" w:rsidRPr="00787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Univers 47 Condensed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822A5"/>
    <w:multiLevelType w:val="hybridMultilevel"/>
    <w:tmpl w:val="8A5C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772F8"/>
    <w:multiLevelType w:val="hybridMultilevel"/>
    <w:tmpl w:val="EE2A6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E86E02"/>
    <w:multiLevelType w:val="hybridMultilevel"/>
    <w:tmpl w:val="2E38999C"/>
    <w:lvl w:ilvl="0" w:tplc="EC4230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43594"/>
    <w:multiLevelType w:val="hybridMultilevel"/>
    <w:tmpl w:val="6764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6C0553"/>
    <w:multiLevelType w:val="hybridMultilevel"/>
    <w:tmpl w:val="FA6C9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8021899">
    <w:abstractNumId w:val="2"/>
  </w:num>
  <w:num w:numId="2" w16cid:durableId="2013486950">
    <w:abstractNumId w:val="3"/>
  </w:num>
  <w:num w:numId="3" w16cid:durableId="426386735">
    <w:abstractNumId w:val="1"/>
  </w:num>
  <w:num w:numId="4" w16cid:durableId="2015913552">
    <w:abstractNumId w:val="4"/>
  </w:num>
  <w:num w:numId="5" w16cid:durableId="28897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AB"/>
    <w:rsid w:val="00075305"/>
    <w:rsid w:val="004E5A3A"/>
    <w:rsid w:val="005E11A0"/>
    <w:rsid w:val="00626CB0"/>
    <w:rsid w:val="006567AB"/>
    <w:rsid w:val="006A3DE7"/>
    <w:rsid w:val="007875AB"/>
    <w:rsid w:val="008F0E54"/>
    <w:rsid w:val="0093649E"/>
    <w:rsid w:val="00A863A7"/>
    <w:rsid w:val="00EC37DB"/>
    <w:rsid w:val="00F8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90B5F"/>
  <w15:chartTrackingRefBased/>
  <w15:docId w15:val="{89570178-A765-445F-BCB9-9DA0F884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75A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7875AB"/>
    <w:rPr>
      <w:kern w:val="0"/>
      <w14:ligatures w14:val="none"/>
    </w:rPr>
  </w:style>
  <w:style w:type="character" w:styleId="Hyperlink">
    <w:name w:val="Hyperlink"/>
    <w:basedOn w:val="DefaultParagraphFont"/>
    <w:uiPriority w:val="99"/>
    <w:unhideWhenUsed/>
    <w:rsid w:val="007875AB"/>
    <w:rPr>
      <w:color w:val="0563C1" w:themeColor="hyperlink"/>
      <w:u w:val="single"/>
    </w:rPr>
  </w:style>
  <w:style w:type="paragraph" w:styleId="ListParagraph">
    <w:name w:val="List Paragraph"/>
    <w:basedOn w:val="Normal"/>
    <w:uiPriority w:val="34"/>
    <w:qFormat/>
    <w:rsid w:val="00626CB0"/>
    <w:pPr>
      <w:spacing w:after="200" w:line="276" w:lineRule="auto"/>
      <w:ind w:left="720"/>
      <w:contextualSpacing/>
    </w:pPr>
    <w:rPr>
      <w:kern w:val="0"/>
      <w14:ligatures w14:val="none"/>
    </w:rPr>
  </w:style>
  <w:style w:type="paragraph" w:styleId="HTMLPreformatted">
    <w:name w:val="HTML Preformatted"/>
    <w:basedOn w:val="Normal"/>
    <w:link w:val="HTMLPreformattedChar"/>
    <w:uiPriority w:val="99"/>
    <w:semiHidden/>
    <w:unhideWhenUsed/>
    <w:rsid w:val="00EC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C37DB"/>
    <w:rPr>
      <w:rFonts w:ascii="Courier New"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80464">
      <w:bodyDiv w:val="1"/>
      <w:marLeft w:val="0"/>
      <w:marRight w:val="0"/>
      <w:marTop w:val="0"/>
      <w:marBottom w:val="0"/>
      <w:divBdr>
        <w:top w:val="none" w:sz="0" w:space="0" w:color="auto"/>
        <w:left w:val="none" w:sz="0" w:space="0" w:color="auto"/>
        <w:bottom w:val="none" w:sz="0" w:space="0" w:color="auto"/>
        <w:right w:val="none" w:sz="0" w:space="0" w:color="auto"/>
      </w:divBdr>
    </w:div>
    <w:div w:id="148132144">
      <w:bodyDiv w:val="1"/>
      <w:marLeft w:val="0"/>
      <w:marRight w:val="0"/>
      <w:marTop w:val="0"/>
      <w:marBottom w:val="0"/>
      <w:divBdr>
        <w:top w:val="none" w:sz="0" w:space="0" w:color="auto"/>
        <w:left w:val="none" w:sz="0" w:space="0" w:color="auto"/>
        <w:bottom w:val="none" w:sz="0" w:space="0" w:color="auto"/>
        <w:right w:val="none" w:sz="0" w:space="0" w:color="auto"/>
      </w:divBdr>
    </w:div>
    <w:div w:id="201946395">
      <w:bodyDiv w:val="1"/>
      <w:marLeft w:val="0"/>
      <w:marRight w:val="0"/>
      <w:marTop w:val="0"/>
      <w:marBottom w:val="0"/>
      <w:divBdr>
        <w:top w:val="none" w:sz="0" w:space="0" w:color="auto"/>
        <w:left w:val="none" w:sz="0" w:space="0" w:color="auto"/>
        <w:bottom w:val="none" w:sz="0" w:space="0" w:color="auto"/>
        <w:right w:val="none" w:sz="0" w:space="0" w:color="auto"/>
      </w:divBdr>
    </w:div>
    <w:div w:id="1090782121">
      <w:bodyDiv w:val="1"/>
      <w:marLeft w:val="0"/>
      <w:marRight w:val="0"/>
      <w:marTop w:val="0"/>
      <w:marBottom w:val="0"/>
      <w:divBdr>
        <w:top w:val="none" w:sz="0" w:space="0" w:color="auto"/>
        <w:left w:val="none" w:sz="0" w:space="0" w:color="auto"/>
        <w:bottom w:val="none" w:sz="0" w:space="0" w:color="auto"/>
        <w:right w:val="none" w:sz="0" w:space="0" w:color="auto"/>
      </w:divBdr>
    </w:div>
    <w:div w:id="1150367644">
      <w:bodyDiv w:val="1"/>
      <w:marLeft w:val="0"/>
      <w:marRight w:val="0"/>
      <w:marTop w:val="0"/>
      <w:marBottom w:val="0"/>
      <w:divBdr>
        <w:top w:val="none" w:sz="0" w:space="0" w:color="auto"/>
        <w:left w:val="none" w:sz="0" w:space="0" w:color="auto"/>
        <w:bottom w:val="none" w:sz="0" w:space="0" w:color="auto"/>
        <w:right w:val="none" w:sz="0" w:space="0" w:color="auto"/>
      </w:divBdr>
    </w:div>
    <w:div w:id="1246501499">
      <w:bodyDiv w:val="1"/>
      <w:marLeft w:val="0"/>
      <w:marRight w:val="0"/>
      <w:marTop w:val="0"/>
      <w:marBottom w:val="0"/>
      <w:divBdr>
        <w:top w:val="none" w:sz="0" w:space="0" w:color="auto"/>
        <w:left w:val="none" w:sz="0" w:space="0" w:color="auto"/>
        <w:bottom w:val="none" w:sz="0" w:space="0" w:color="auto"/>
        <w:right w:val="none" w:sz="0" w:space="0" w:color="auto"/>
      </w:divBdr>
    </w:div>
    <w:div w:id="1486583227">
      <w:bodyDiv w:val="1"/>
      <w:marLeft w:val="0"/>
      <w:marRight w:val="0"/>
      <w:marTop w:val="0"/>
      <w:marBottom w:val="0"/>
      <w:divBdr>
        <w:top w:val="none" w:sz="0" w:space="0" w:color="auto"/>
        <w:left w:val="none" w:sz="0" w:space="0" w:color="auto"/>
        <w:bottom w:val="none" w:sz="0" w:space="0" w:color="auto"/>
        <w:right w:val="none" w:sz="0" w:space="0" w:color="auto"/>
      </w:divBdr>
    </w:div>
    <w:div w:id="1521433242">
      <w:bodyDiv w:val="1"/>
      <w:marLeft w:val="0"/>
      <w:marRight w:val="0"/>
      <w:marTop w:val="0"/>
      <w:marBottom w:val="0"/>
      <w:divBdr>
        <w:top w:val="none" w:sz="0" w:space="0" w:color="auto"/>
        <w:left w:val="none" w:sz="0" w:space="0" w:color="auto"/>
        <w:bottom w:val="none" w:sz="0" w:space="0" w:color="auto"/>
        <w:right w:val="none" w:sz="0" w:space="0" w:color="auto"/>
      </w:divBdr>
    </w:div>
    <w:div w:id="1557622445">
      <w:bodyDiv w:val="1"/>
      <w:marLeft w:val="0"/>
      <w:marRight w:val="0"/>
      <w:marTop w:val="0"/>
      <w:marBottom w:val="0"/>
      <w:divBdr>
        <w:top w:val="none" w:sz="0" w:space="0" w:color="auto"/>
        <w:left w:val="none" w:sz="0" w:space="0" w:color="auto"/>
        <w:bottom w:val="none" w:sz="0" w:space="0" w:color="auto"/>
        <w:right w:val="none" w:sz="0" w:space="0" w:color="auto"/>
      </w:divBdr>
    </w:div>
    <w:div w:id="1638679513">
      <w:bodyDiv w:val="1"/>
      <w:marLeft w:val="0"/>
      <w:marRight w:val="0"/>
      <w:marTop w:val="0"/>
      <w:marBottom w:val="0"/>
      <w:divBdr>
        <w:top w:val="none" w:sz="0" w:space="0" w:color="auto"/>
        <w:left w:val="none" w:sz="0" w:space="0" w:color="auto"/>
        <w:bottom w:val="none" w:sz="0" w:space="0" w:color="auto"/>
        <w:right w:val="none" w:sz="0" w:space="0" w:color="auto"/>
      </w:divBdr>
    </w:div>
    <w:div w:id="16865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4134</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
    </vt:vector>
  </TitlesOfParts>
  <Company>LPL Financial</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Nutting</dc:creator>
  <cp:keywords/>
  <dc:description/>
  <cp:lastModifiedBy>Taylor Nobbe</cp:lastModifiedBy>
  <cp:revision>2</cp:revision>
  <cp:lastPrinted>2024-04-05T17:17:00Z</cp:lastPrinted>
  <dcterms:created xsi:type="dcterms:W3CDTF">2025-06-06T17:28:00Z</dcterms:created>
  <dcterms:modified xsi:type="dcterms:W3CDTF">2025-06-06T17:28:00Z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d53e9464-d0dd-4c66-b01f-a2022957549a</vt:lpwstr>
  </property>
</Properties>
</file>