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E9FA9" w14:textId="77777777" w:rsidR="00A863A7" w:rsidRDefault="007875AB" w:rsidP="007875AB">
      <w:r w:rsidRPr="007875AB">
        <w:rPr>
          <w:noProof/>
        </w:rPr>
        <w:drawing>
          <wp:inline distT="0" distB="0" distL="0" distR="0" wp14:anchorId="3146ED9D" wp14:editId="09166D97">
            <wp:extent cx="1857375" cy="647700"/>
            <wp:effectExtent l="0" t="0" r="9525" b="0"/>
            <wp:docPr id="934388896"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388896" name="Picture 1" descr="A close up of a logo&#10;&#10;Description automatically generated"/>
                    <pic:cNvPicPr/>
                  </pic:nvPicPr>
                  <pic:blipFill>
                    <a:blip r:embed="rId5"/>
                    <a:stretch>
                      <a:fillRect/>
                    </a:stretch>
                  </pic:blipFill>
                  <pic:spPr>
                    <a:xfrm>
                      <a:off x="0" y="0"/>
                      <a:ext cx="1857375" cy="647700"/>
                    </a:xfrm>
                    <a:prstGeom prst="rect">
                      <a:avLst/>
                    </a:prstGeom>
                  </pic:spPr>
                </pic:pic>
              </a:graphicData>
            </a:graphic>
          </wp:inline>
        </w:drawing>
      </w:r>
    </w:p>
    <w:p w14:paraId="3C5FBC75" w14:textId="4AF68EBB" w:rsidR="005C3577" w:rsidRPr="005C3577" w:rsidRDefault="00E126C2" w:rsidP="005C3577">
      <w:pPr>
        <w:rPr>
          <w:sz w:val="20"/>
          <w:szCs w:val="20"/>
        </w:rPr>
      </w:pPr>
      <w:r>
        <w:rPr>
          <w:sz w:val="20"/>
          <w:szCs w:val="20"/>
        </w:rPr>
        <w:t>November</w:t>
      </w:r>
      <w:r w:rsidR="007204F3">
        <w:rPr>
          <w:sz w:val="20"/>
          <w:szCs w:val="20"/>
        </w:rPr>
        <w:t xml:space="preserve"> </w:t>
      </w:r>
      <w:r>
        <w:rPr>
          <w:sz w:val="20"/>
          <w:szCs w:val="20"/>
        </w:rPr>
        <w:t>5</w:t>
      </w:r>
      <w:r w:rsidR="005C3577" w:rsidRPr="005C3577">
        <w:rPr>
          <w:sz w:val="20"/>
          <w:szCs w:val="20"/>
        </w:rPr>
        <w:t>, 2025 </w:t>
      </w:r>
    </w:p>
    <w:p w14:paraId="3FCDB8D5" w14:textId="77777777" w:rsidR="005C3577" w:rsidRPr="005C3577" w:rsidRDefault="005C3577" w:rsidP="005C3577">
      <w:pPr>
        <w:rPr>
          <w:sz w:val="20"/>
          <w:szCs w:val="20"/>
        </w:rPr>
      </w:pPr>
      <w:r w:rsidRPr="005C3577">
        <w:rPr>
          <w:sz w:val="20"/>
          <w:szCs w:val="20"/>
        </w:rPr>
        <w:t> </w:t>
      </w:r>
    </w:p>
    <w:p w14:paraId="5238A589" w14:textId="77777777" w:rsidR="005C3577" w:rsidRPr="005C3577" w:rsidRDefault="005C3577" w:rsidP="005C3577">
      <w:pPr>
        <w:rPr>
          <w:sz w:val="20"/>
          <w:szCs w:val="20"/>
        </w:rPr>
      </w:pPr>
      <w:r w:rsidRPr="005C3577">
        <w:rPr>
          <w:sz w:val="20"/>
          <w:szCs w:val="20"/>
        </w:rPr>
        <w:t>Dear Valued Investor, </w:t>
      </w:r>
    </w:p>
    <w:p w14:paraId="66F4174D" w14:textId="77777777" w:rsidR="004046F5" w:rsidRPr="00CD2BB2" w:rsidRDefault="004046F5" w:rsidP="004046F5">
      <w:pPr>
        <w:ind w:right="173"/>
        <w:rPr>
          <w:rFonts w:ascii="Tenorite" w:hAnsi="Tenorite"/>
          <w:sz w:val="20"/>
          <w:szCs w:val="20"/>
        </w:rPr>
      </w:pPr>
      <w:r w:rsidRPr="00CD2BB2">
        <w:rPr>
          <w:rFonts w:ascii="Tenorite" w:hAnsi="Tenorite"/>
          <w:sz w:val="20"/>
          <w:szCs w:val="20"/>
        </w:rPr>
        <w:t xml:space="preserve">The last week of October delivered a flurry of impactful headlines across earnings, monetary policy, and geopolitics — each shaping the investment landscape as we head into year-end. Here are some key takeaways: </w:t>
      </w:r>
    </w:p>
    <w:p w14:paraId="3D2ECBED" w14:textId="77777777" w:rsidR="004046F5" w:rsidRPr="00B617DA" w:rsidRDefault="004046F5" w:rsidP="004046F5">
      <w:pPr>
        <w:pStyle w:val="ListParagraph"/>
        <w:numPr>
          <w:ilvl w:val="0"/>
          <w:numId w:val="5"/>
        </w:numPr>
        <w:ind w:right="173"/>
        <w:rPr>
          <w:rFonts w:ascii="Tenorite" w:hAnsi="Tenorite"/>
          <w:sz w:val="20"/>
          <w:szCs w:val="20"/>
        </w:rPr>
      </w:pPr>
      <w:r w:rsidRPr="00B617DA">
        <w:rPr>
          <w:rFonts w:ascii="Tenorite" w:hAnsi="Tenorite"/>
          <w:b/>
          <w:bCs/>
          <w:sz w:val="20"/>
          <w:szCs w:val="20"/>
        </w:rPr>
        <w:t>Corporate America continues to impress</w:t>
      </w:r>
      <w:r w:rsidRPr="00B617DA">
        <w:rPr>
          <w:rFonts w:ascii="Tenorite" w:hAnsi="Tenorite"/>
          <w:sz w:val="20"/>
          <w:szCs w:val="20"/>
        </w:rPr>
        <w:t xml:space="preserve">. We’re now more than 70% through third quarter earnings season and an impressive 83% of S&amp;P 500 companies have exceeded earnings expectations, putting index companies collectively on track to deliver a fourth straight quarter of double-digit earnings growth. The surge in capital expenditures from Big Tech has been a standout theme. The top seven technology companies are now expected to invest more than $500 billion next year to build out AI infrastructure, underscoring the intensity of the AI arms race. While investors have generally welcomed this investment, the cool reception to Meta’s (META) results highlights growing scrutiny. </w:t>
      </w:r>
    </w:p>
    <w:p w14:paraId="47520C9A" w14:textId="77777777" w:rsidR="004046F5" w:rsidRPr="00B617DA" w:rsidRDefault="004046F5" w:rsidP="004046F5">
      <w:pPr>
        <w:pStyle w:val="ListParagraph"/>
        <w:numPr>
          <w:ilvl w:val="0"/>
          <w:numId w:val="5"/>
        </w:numPr>
        <w:ind w:right="173"/>
        <w:rPr>
          <w:rFonts w:ascii="Tenorite" w:hAnsi="Tenorite"/>
          <w:sz w:val="20"/>
          <w:szCs w:val="20"/>
        </w:rPr>
      </w:pPr>
      <w:r w:rsidRPr="00B617DA">
        <w:rPr>
          <w:rFonts w:ascii="Tenorite" w:hAnsi="Tenorite"/>
          <w:b/>
          <w:bCs/>
          <w:sz w:val="20"/>
          <w:szCs w:val="20"/>
        </w:rPr>
        <w:t>The Federal Reserve (Fed) introduced uncertainty about the future path of rates</w:t>
      </w:r>
      <w:r w:rsidRPr="00B617DA">
        <w:rPr>
          <w:rFonts w:ascii="Tenorite" w:hAnsi="Tenorite"/>
          <w:sz w:val="20"/>
          <w:szCs w:val="20"/>
        </w:rPr>
        <w:t>. Fed Chair Powell emphasized that a December rate cut was “far from a foregone conclusion.” As anticipated, the Fed cut interest rates by 0.25% at its October Federal Open Market Committee (FOMC) meeting. However, the Committee remains divided, and the tone was less dovish than markets hoped, sending Treasury yields higher. Labor market commentary was also revealing, painting a picture of a “no hire, no fire” dynamic as companies mostly held headcounts steady amid economic uncertainty. From our perspective, labor market risks make the case for continued rate cuts into 2026 despite lingering upside risks to inflation.</w:t>
      </w:r>
    </w:p>
    <w:p w14:paraId="31BA510E" w14:textId="77777777" w:rsidR="004046F5" w:rsidRPr="00B617DA" w:rsidRDefault="004046F5" w:rsidP="004046F5">
      <w:pPr>
        <w:pStyle w:val="ListParagraph"/>
        <w:numPr>
          <w:ilvl w:val="0"/>
          <w:numId w:val="5"/>
        </w:numPr>
        <w:ind w:right="173"/>
        <w:rPr>
          <w:rFonts w:ascii="Tenorite" w:hAnsi="Tenorite"/>
          <w:sz w:val="20"/>
          <w:szCs w:val="20"/>
        </w:rPr>
      </w:pPr>
      <w:r w:rsidRPr="00B617DA">
        <w:rPr>
          <w:rFonts w:ascii="Tenorite" w:hAnsi="Tenorite"/>
          <w:b/>
          <w:bCs/>
          <w:sz w:val="20"/>
          <w:szCs w:val="20"/>
        </w:rPr>
        <w:t>U.S.-China trade truce reduced the risk of escalation</w:t>
      </w:r>
      <w:r w:rsidRPr="00B617DA">
        <w:rPr>
          <w:rFonts w:ascii="Tenorite" w:hAnsi="Tenorite"/>
          <w:sz w:val="20"/>
          <w:szCs w:val="20"/>
        </w:rPr>
        <w:t>. President Trump and President Xi reached a one-year trade truce at the APEC summit in South Korea last week. Key elements include reduced U.S. tariffs, resumed China soybean purchases, and a pause on China’s rare-earth export controls. The effective overall tariff burden is around 12%, well below most policy strategists’ expectations in the mid-teens. Easing trade tensions and reduced tariffs have provided a tailwind for corporate earnings.</w:t>
      </w:r>
    </w:p>
    <w:p w14:paraId="53C44925" w14:textId="77777777" w:rsidR="004046F5" w:rsidRPr="00CD2BB2" w:rsidRDefault="004046F5" w:rsidP="004046F5">
      <w:pPr>
        <w:ind w:right="173"/>
        <w:rPr>
          <w:rFonts w:ascii="Tenorite" w:hAnsi="Tenorite"/>
          <w:sz w:val="20"/>
          <w:szCs w:val="20"/>
        </w:rPr>
      </w:pPr>
      <w:r w:rsidRPr="00CD2BB2">
        <w:rPr>
          <w:rFonts w:ascii="Tenorite" w:hAnsi="Tenorite"/>
          <w:sz w:val="20"/>
          <w:szCs w:val="20"/>
        </w:rPr>
        <w:t xml:space="preserve">These significant developments were generally well received by financial markets — enough to clinch the sixth straight positive month for the S&amp;P 500 Index and the seventh straight for the Nasdaq Composite. </w:t>
      </w:r>
      <w:r w:rsidRPr="00EA7DB0">
        <w:rPr>
          <w:rFonts w:ascii="Tenorite" w:hAnsi="Tenorite"/>
          <w:sz w:val="20"/>
          <w:szCs w:val="20"/>
        </w:rPr>
        <w:t xml:space="preserve">While past performance does not guarantee future results, </w:t>
      </w:r>
      <w:r w:rsidRPr="00CD2BB2">
        <w:rPr>
          <w:rFonts w:ascii="Tenorite" w:hAnsi="Tenorite"/>
          <w:sz w:val="20"/>
          <w:szCs w:val="20"/>
        </w:rPr>
        <w:t>November through April has historically been the best six-month period of the year for stocks, although some gains may have been pulled forward and concentrated market leadership introduces some fragility to a bull market that hasn’t experienced a 5% pullback in nearly six months.</w:t>
      </w:r>
    </w:p>
    <w:p w14:paraId="2C370016" w14:textId="77777777" w:rsidR="004046F5" w:rsidRPr="0071101B" w:rsidRDefault="004046F5" w:rsidP="004046F5">
      <w:pPr>
        <w:ind w:right="173"/>
        <w:rPr>
          <w:rFonts w:ascii="Tenorite" w:hAnsi="Tenorite"/>
        </w:rPr>
      </w:pPr>
      <w:r w:rsidRPr="00CD2BB2">
        <w:rPr>
          <w:rFonts w:ascii="Tenorite" w:hAnsi="Tenorite"/>
          <w:sz w:val="20"/>
          <w:szCs w:val="20"/>
        </w:rPr>
        <w:t xml:space="preserve">In closing, surprising earnings upside, easing trade tensions, and a favorable seasonal setup are balanced against supportive but less predictable monetary policy. We favor a selective tactical approach </w:t>
      </w:r>
      <w:proofErr w:type="gramStart"/>
      <w:r w:rsidRPr="00CD2BB2">
        <w:rPr>
          <w:rFonts w:ascii="Tenorite" w:hAnsi="Tenorite"/>
          <w:sz w:val="20"/>
          <w:szCs w:val="20"/>
        </w:rPr>
        <w:t>into</w:t>
      </w:r>
      <w:proofErr w:type="gramEnd"/>
      <w:r w:rsidRPr="00CD2BB2">
        <w:rPr>
          <w:rFonts w:ascii="Tenorite" w:hAnsi="Tenorite"/>
          <w:sz w:val="20"/>
          <w:szCs w:val="20"/>
        </w:rPr>
        <w:t xml:space="preserve"> year-end.</w:t>
      </w:r>
    </w:p>
    <w:p w14:paraId="550B1831" w14:textId="77777777" w:rsidR="004046F5" w:rsidRPr="00517E65" w:rsidRDefault="004046F5" w:rsidP="004046F5">
      <w:pPr>
        <w:pStyle w:val="xmsonormal"/>
        <w:rPr>
          <w:rFonts w:ascii="Tenorite" w:hAnsi="Tenorite"/>
          <w:sz w:val="20"/>
          <w:szCs w:val="20"/>
        </w:rPr>
      </w:pPr>
      <w:r w:rsidRPr="00517E65">
        <w:rPr>
          <w:rFonts w:ascii="Tenorite" w:hAnsi="Tenorite"/>
          <w:sz w:val="20"/>
          <w:szCs w:val="20"/>
        </w:rPr>
        <w:t>Thank you for your continued trust.</w:t>
      </w:r>
    </w:p>
    <w:p w14:paraId="1257C9DB" w14:textId="77777777" w:rsidR="004046F5" w:rsidRDefault="004046F5" w:rsidP="00EC37DB"/>
    <w:p w14:paraId="690C8833" w14:textId="692D8518" w:rsidR="00EC37DB" w:rsidRDefault="00EC37DB" w:rsidP="00EC37DB">
      <w:r>
        <w:lastRenderedPageBreak/>
        <w:t>Sincerely,</w:t>
      </w:r>
    </w:p>
    <w:p w14:paraId="20D201CB" w14:textId="77777777" w:rsidR="007875AB" w:rsidRPr="007875AB" w:rsidRDefault="007875AB" w:rsidP="007875AB">
      <w:pPr>
        <w:spacing w:line="240" w:lineRule="auto"/>
        <w:rPr>
          <w:b/>
          <w:bCs/>
          <w:sz w:val="28"/>
          <w:szCs w:val="28"/>
        </w:rPr>
      </w:pPr>
      <w:r w:rsidRPr="007875AB">
        <w:rPr>
          <w:b/>
          <w:bCs/>
          <w:sz w:val="32"/>
          <w:szCs w:val="32"/>
        </w:rPr>
        <w:t>Rick Fisher, CFP®</w:t>
      </w:r>
    </w:p>
    <w:p w14:paraId="339B867D" w14:textId="77777777" w:rsidR="00626CB0" w:rsidRDefault="00626CB0">
      <w:pPr>
        <w:rPr>
          <w:sz w:val="18"/>
          <w:szCs w:val="18"/>
        </w:rPr>
      </w:pPr>
      <w:r>
        <w:rPr>
          <w:sz w:val="18"/>
          <w:szCs w:val="18"/>
        </w:rPr>
        <w:br w:type="page"/>
      </w:r>
    </w:p>
    <w:p w14:paraId="708336A9" w14:textId="77777777" w:rsidR="008A15BA" w:rsidRPr="008A15BA" w:rsidRDefault="008A15BA" w:rsidP="008A15BA">
      <w:pPr>
        <w:spacing w:line="240" w:lineRule="auto"/>
        <w:rPr>
          <w:sz w:val="18"/>
          <w:szCs w:val="18"/>
        </w:rPr>
      </w:pPr>
      <w:r w:rsidRPr="008A15BA">
        <w:rPr>
          <w:b/>
          <w:bCs/>
          <w:sz w:val="18"/>
          <w:szCs w:val="18"/>
        </w:rPr>
        <w:lastRenderedPageBreak/>
        <w:t>Important Information</w:t>
      </w:r>
      <w:r w:rsidRPr="008A15BA">
        <w:rPr>
          <w:sz w:val="18"/>
          <w:szCs w:val="18"/>
        </w:rPr>
        <w:t> </w:t>
      </w:r>
    </w:p>
    <w:p w14:paraId="067321E4" w14:textId="77777777" w:rsidR="00B82E04" w:rsidRPr="00B15C56" w:rsidRDefault="00B82E04" w:rsidP="00B82E04">
      <w:pPr>
        <w:spacing w:line="240" w:lineRule="auto"/>
        <w:rPr>
          <w:rFonts w:ascii="Tenorite" w:hAnsi="Tenorite" w:cs="Univers 47 CondensedLight"/>
          <w:color w:val="000000"/>
          <w:sz w:val="18"/>
          <w:szCs w:val="18"/>
        </w:rPr>
      </w:pPr>
      <w:r w:rsidRPr="00B15C56">
        <w:rPr>
          <w:rFonts w:ascii="Tenorite" w:hAnsi="Tenorite" w:cs="Univers 47 CondensedLight"/>
          <w:color w:val="000000"/>
          <w:sz w:val="18"/>
          <w:szCs w:val="18"/>
        </w:rPr>
        <w:t xml:space="preserve">This material is for general information only and is not intended to provide specific advice or recommendations for any individual. There is no assurance that the views or strategies discussed are suitable for all investors or will yield positive outcomes. Investing involves risks including possible loss of principal. Any economic forecasts set forth may not develop as predicted and are subject to change. </w:t>
      </w:r>
    </w:p>
    <w:p w14:paraId="09E7CA60" w14:textId="77777777" w:rsidR="00B82E04" w:rsidRPr="00B15C56" w:rsidRDefault="00B82E04" w:rsidP="00B82E04">
      <w:pPr>
        <w:spacing w:line="240" w:lineRule="auto"/>
        <w:rPr>
          <w:rFonts w:ascii="Tenorite" w:hAnsi="Tenorite" w:cs="Univers 47 CondensedLight"/>
          <w:color w:val="000000"/>
          <w:sz w:val="18"/>
          <w:szCs w:val="18"/>
        </w:rPr>
      </w:pPr>
      <w:r w:rsidRPr="00B15C56">
        <w:rPr>
          <w:rFonts w:ascii="Tenorite" w:hAnsi="Tenorite" w:cs="Univers 47 CondensedLight"/>
          <w:color w:val="000000"/>
          <w:sz w:val="18"/>
          <w:szCs w:val="18"/>
        </w:rPr>
        <w:t xml:space="preserve">References to markets, asset classes, and sectors are generally regarding the corresponding market index. Indexes are unmanaged statistical composites and cannot be invested into directly. Index performance is not indicative of the performance of any investment and </w:t>
      </w:r>
      <w:proofErr w:type="gramStart"/>
      <w:r w:rsidRPr="00B15C56">
        <w:rPr>
          <w:rFonts w:ascii="Tenorite" w:hAnsi="Tenorite" w:cs="Univers 47 CondensedLight"/>
          <w:color w:val="000000"/>
          <w:sz w:val="18"/>
          <w:szCs w:val="18"/>
        </w:rPr>
        <w:t>do</w:t>
      </w:r>
      <w:proofErr w:type="gramEnd"/>
      <w:r w:rsidRPr="00B15C56">
        <w:rPr>
          <w:rFonts w:ascii="Tenorite" w:hAnsi="Tenorite" w:cs="Univers 47 CondensedLight"/>
          <w:color w:val="000000"/>
          <w:sz w:val="18"/>
          <w:szCs w:val="18"/>
        </w:rPr>
        <w:t xml:space="preserve"> not reflect fees, expenses, or sales charges. All performance referenced is historical </w:t>
      </w:r>
      <w:proofErr w:type="gramStart"/>
      <w:r w:rsidRPr="00B15C56">
        <w:rPr>
          <w:rFonts w:ascii="Tenorite" w:hAnsi="Tenorite" w:cs="Univers 47 CondensedLight"/>
          <w:color w:val="000000"/>
          <w:sz w:val="18"/>
          <w:szCs w:val="18"/>
        </w:rPr>
        <w:t>and</w:t>
      </w:r>
      <w:proofErr w:type="gramEnd"/>
      <w:r w:rsidRPr="00B15C56">
        <w:rPr>
          <w:rFonts w:ascii="Tenorite" w:hAnsi="Tenorite" w:cs="Univers 47 CondensedLight"/>
          <w:color w:val="000000"/>
          <w:sz w:val="18"/>
          <w:szCs w:val="18"/>
        </w:rPr>
        <w:t xml:space="preserve"> is no guarantee of future results.</w:t>
      </w:r>
    </w:p>
    <w:p w14:paraId="1C4B6E3D" w14:textId="77777777" w:rsidR="00B82E04" w:rsidRPr="00B15C56" w:rsidRDefault="00B82E04" w:rsidP="00B82E04">
      <w:pPr>
        <w:spacing w:line="240" w:lineRule="auto"/>
        <w:rPr>
          <w:rFonts w:ascii="Tenorite" w:hAnsi="Tenorite"/>
          <w:sz w:val="18"/>
          <w:szCs w:val="18"/>
        </w:rPr>
      </w:pPr>
      <w:r w:rsidRPr="00B15C56">
        <w:rPr>
          <w:rFonts w:ascii="Tenorite" w:hAnsi="Tenorite" w:cs="Univers 47 CondensedLight"/>
          <w:sz w:val="18"/>
          <w:szCs w:val="18"/>
        </w:rPr>
        <w:t xml:space="preserve">All data is provided as of </w:t>
      </w:r>
      <w:r>
        <w:rPr>
          <w:rFonts w:ascii="Tenorite" w:hAnsi="Tenorite" w:cs="Univers 47 CondensedLight"/>
          <w:sz w:val="18"/>
          <w:szCs w:val="18"/>
        </w:rPr>
        <w:t>November 5</w:t>
      </w:r>
      <w:r w:rsidRPr="00B15C56">
        <w:rPr>
          <w:rFonts w:ascii="Tenorite" w:hAnsi="Tenorite" w:cs="Univers 47 CondensedLight"/>
          <w:sz w:val="18"/>
          <w:szCs w:val="18"/>
        </w:rPr>
        <w:t>, 2025.</w:t>
      </w:r>
    </w:p>
    <w:p w14:paraId="14D0D7D4" w14:textId="77777777" w:rsidR="00B82E04" w:rsidRPr="00B15C56" w:rsidRDefault="00B82E04" w:rsidP="00B82E04">
      <w:pPr>
        <w:spacing w:line="240" w:lineRule="auto"/>
        <w:rPr>
          <w:rFonts w:ascii="Tenorite" w:hAnsi="Tenorite"/>
          <w:sz w:val="18"/>
          <w:szCs w:val="18"/>
          <w:lang w:val="en"/>
        </w:rPr>
      </w:pPr>
      <w:r w:rsidRPr="00B15C56">
        <w:rPr>
          <w:rFonts w:ascii="Tenorite" w:hAnsi="Tenorite"/>
          <w:sz w:val="18"/>
          <w:szCs w:val="18"/>
          <w:lang w:val="en"/>
        </w:rPr>
        <w:t>All index data from FactSet.</w:t>
      </w:r>
    </w:p>
    <w:p w14:paraId="2AF4A64D" w14:textId="77777777" w:rsidR="00B82E04" w:rsidRDefault="00B82E04" w:rsidP="00B82E04">
      <w:pPr>
        <w:rPr>
          <w:rFonts w:ascii="Tenorite" w:hAnsi="Tenorite"/>
          <w:sz w:val="18"/>
          <w:szCs w:val="18"/>
          <w:lang w:val="en"/>
        </w:rPr>
      </w:pPr>
      <w:bookmarkStart w:id="0" w:name="OLE_LINK34"/>
      <w:bookmarkStart w:id="1" w:name="OLE_LINK35"/>
      <w:r w:rsidRPr="00B15C56">
        <w:rPr>
          <w:rFonts w:ascii="Tenorite" w:hAnsi="Tenorite"/>
          <w:sz w:val="18"/>
          <w:szCs w:val="18"/>
          <w:lang w:val="en"/>
        </w:rPr>
        <w:t xml:space="preserve">The Standard &amp; Poor’s 500 Index (S&amp;P500) is a capitalization-weighted index of 500 stocks designed to measure performance of the broad domestic economy through changes in the aggregate market value of 500 stocks representing all major industries. </w:t>
      </w:r>
    </w:p>
    <w:p w14:paraId="069C99FD" w14:textId="77777777" w:rsidR="00B82E04" w:rsidRPr="00B15C56" w:rsidRDefault="00B82E04" w:rsidP="00B82E04">
      <w:pPr>
        <w:rPr>
          <w:rFonts w:ascii="Tenorite" w:hAnsi="Tenorite"/>
          <w:sz w:val="18"/>
          <w:szCs w:val="18"/>
          <w:lang w:val="en"/>
        </w:rPr>
      </w:pPr>
      <w:r w:rsidRPr="00F63B51">
        <w:rPr>
          <w:rFonts w:ascii="Tenorite" w:hAnsi="Tenorite"/>
          <w:sz w:val="18"/>
          <w:szCs w:val="18"/>
          <w:lang w:val="en"/>
        </w:rPr>
        <w:t>The NASDAQ Composite Index measures all NASDAQ domestic and non-U.S. based common stocks listed on The NASDAQ Stock Market. The market value, the last sale price multiplied by total shares outstanding, is calculated throughout the trading day, and is related to the total value of the Index.</w:t>
      </w:r>
    </w:p>
    <w:bookmarkEnd w:id="0"/>
    <w:bookmarkEnd w:id="1"/>
    <w:p w14:paraId="40CC335C" w14:textId="77777777" w:rsidR="00B82E04" w:rsidRPr="00B15C56" w:rsidRDefault="00B82E04" w:rsidP="00B82E04">
      <w:pPr>
        <w:spacing w:line="240" w:lineRule="auto"/>
        <w:rPr>
          <w:rFonts w:ascii="Tenorite" w:hAnsi="Tenorite"/>
          <w:sz w:val="18"/>
          <w:szCs w:val="18"/>
          <w:lang w:val="en"/>
        </w:rPr>
      </w:pPr>
      <w:r w:rsidRPr="00B15C56">
        <w:rPr>
          <w:rFonts w:ascii="Tenorite" w:hAnsi="Tenorite"/>
          <w:sz w:val="18"/>
          <w:szCs w:val="18"/>
          <w:lang w:val="en"/>
        </w:rPr>
        <w:t>There is no guarantee that a diversified portfolio will enhance overall returns or outperform a non-diversified portfolio. Diversification does not protect against market risk.</w:t>
      </w:r>
    </w:p>
    <w:p w14:paraId="74DB2FF4" w14:textId="77777777" w:rsidR="00B82E04" w:rsidRPr="00B15C56" w:rsidRDefault="00B82E04" w:rsidP="00B82E04">
      <w:pPr>
        <w:spacing w:line="240" w:lineRule="auto"/>
        <w:rPr>
          <w:rFonts w:ascii="Tenorite" w:hAnsi="Tenorite"/>
          <w:sz w:val="18"/>
          <w:szCs w:val="18"/>
          <w:lang w:val="en"/>
        </w:rPr>
      </w:pPr>
      <w:r w:rsidRPr="00B15C56">
        <w:rPr>
          <w:rFonts w:ascii="Tenorite" w:hAnsi="Tenorite"/>
          <w:sz w:val="18"/>
          <w:szCs w:val="18"/>
          <w:lang w:val="en"/>
        </w:rPr>
        <w:t>Past performance does not guarantee future results.</w:t>
      </w:r>
    </w:p>
    <w:p w14:paraId="17CB9430" w14:textId="77777777" w:rsidR="00B82E04" w:rsidRPr="00B15C56" w:rsidRDefault="00B82E04" w:rsidP="00B82E04">
      <w:pPr>
        <w:spacing w:line="240" w:lineRule="auto"/>
        <w:rPr>
          <w:rFonts w:ascii="Tenorite" w:hAnsi="Tenorite"/>
          <w:sz w:val="18"/>
          <w:szCs w:val="18"/>
          <w:lang w:val="en"/>
        </w:rPr>
      </w:pPr>
      <w:r w:rsidRPr="00B15C56">
        <w:rPr>
          <w:rFonts w:ascii="Tenorite" w:hAnsi="Tenorite"/>
          <w:sz w:val="18"/>
          <w:szCs w:val="18"/>
          <w:lang w:val="en"/>
        </w:rPr>
        <w:t>Asset allocation does not ensure a profit or protect against a loss.</w:t>
      </w:r>
    </w:p>
    <w:p w14:paraId="7800A251" w14:textId="77777777" w:rsidR="00B82E04" w:rsidRPr="00B15C56" w:rsidRDefault="00B82E04" w:rsidP="00B82E04">
      <w:pPr>
        <w:spacing w:line="240" w:lineRule="auto"/>
        <w:rPr>
          <w:rFonts w:ascii="Tenorite" w:hAnsi="Tenorite"/>
          <w:sz w:val="18"/>
          <w:szCs w:val="18"/>
          <w:lang w:val="en"/>
        </w:rPr>
      </w:pPr>
      <w:r w:rsidRPr="00B15C56">
        <w:rPr>
          <w:rFonts w:ascii="Tenorite" w:hAnsi="Tenorite"/>
          <w:sz w:val="18"/>
          <w:szCs w:val="18"/>
          <w:lang w:val="en"/>
        </w:rPr>
        <w:t>This research material was prepared by LPL Financial, LLC.</w:t>
      </w:r>
    </w:p>
    <w:p w14:paraId="0B66AF94" w14:textId="77777777" w:rsidR="008A15BA" w:rsidRPr="008A15BA" w:rsidRDefault="008A15BA" w:rsidP="008A15BA">
      <w:pPr>
        <w:spacing w:line="240" w:lineRule="auto"/>
        <w:rPr>
          <w:sz w:val="18"/>
          <w:szCs w:val="18"/>
        </w:rPr>
      </w:pPr>
    </w:p>
    <w:tbl>
      <w:tblPr>
        <w:tblW w:w="919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32"/>
        <w:gridCol w:w="2010"/>
        <w:gridCol w:w="2834"/>
        <w:gridCol w:w="1118"/>
      </w:tblGrid>
      <w:tr w:rsidR="008A15BA" w:rsidRPr="008A15BA" w14:paraId="3001179F" w14:textId="77777777" w:rsidTr="008A15BA">
        <w:trPr>
          <w:trHeight w:val="300"/>
          <w:jc w:val="center"/>
        </w:trPr>
        <w:tc>
          <w:tcPr>
            <w:tcW w:w="3232" w:type="dxa"/>
            <w:tcBorders>
              <w:top w:val="single" w:sz="6" w:space="0" w:color="000000"/>
              <w:left w:val="single" w:sz="6" w:space="0" w:color="000000"/>
              <w:bottom w:val="single" w:sz="6" w:space="0" w:color="000000"/>
              <w:right w:val="single" w:sz="6" w:space="0" w:color="000000"/>
            </w:tcBorders>
            <w:hideMark/>
          </w:tcPr>
          <w:p w14:paraId="7D6A6D0B" w14:textId="77777777" w:rsidR="008A15BA" w:rsidRPr="008A15BA" w:rsidRDefault="008A15BA" w:rsidP="008A15BA">
            <w:pPr>
              <w:spacing w:line="240" w:lineRule="auto"/>
              <w:rPr>
                <w:sz w:val="18"/>
                <w:szCs w:val="18"/>
              </w:rPr>
            </w:pPr>
            <w:r w:rsidRPr="008A15BA">
              <w:rPr>
                <w:b/>
                <w:bCs/>
                <w:sz w:val="18"/>
                <w:szCs w:val="18"/>
              </w:rPr>
              <w:t>Not Insured by FDIC/NCUA or Any Other Government Agency</w:t>
            </w:r>
            <w:r w:rsidRPr="008A15BA">
              <w:rPr>
                <w:sz w:val="18"/>
                <w:szCs w:val="18"/>
              </w:rPr>
              <w:t> </w:t>
            </w:r>
          </w:p>
        </w:tc>
        <w:tc>
          <w:tcPr>
            <w:tcW w:w="2010" w:type="dxa"/>
            <w:tcBorders>
              <w:top w:val="single" w:sz="6" w:space="0" w:color="000000"/>
              <w:left w:val="single" w:sz="6" w:space="0" w:color="000000"/>
              <w:bottom w:val="single" w:sz="6" w:space="0" w:color="000000"/>
              <w:right w:val="single" w:sz="6" w:space="0" w:color="000000"/>
            </w:tcBorders>
            <w:hideMark/>
          </w:tcPr>
          <w:p w14:paraId="76E64C9C" w14:textId="77777777" w:rsidR="008A15BA" w:rsidRPr="008A15BA" w:rsidRDefault="008A15BA" w:rsidP="008A15BA">
            <w:pPr>
              <w:spacing w:line="240" w:lineRule="auto"/>
              <w:rPr>
                <w:sz w:val="18"/>
                <w:szCs w:val="18"/>
              </w:rPr>
            </w:pPr>
            <w:r w:rsidRPr="008A15BA">
              <w:rPr>
                <w:b/>
                <w:bCs/>
                <w:sz w:val="18"/>
                <w:szCs w:val="18"/>
              </w:rPr>
              <w:t>Not Bank/Credit Union Guaranteed</w:t>
            </w:r>
            <w:r w:rsidRPr="008A15BA">
              <w:rPr>
                <w:sz w:val="18"/>
                <w:szCs w:val="18"/>
              </w:rPr>
              <w:t> </w:t>
            </w:r>
          </w:p>
        </w:tc>
        <w:tc>
          <w:tcPr>
            <w:tcW w:w="2834" w:type="dxa"/>
            <w:tcBorders>
              <w:top w:val="single" w:sz="6" w:space="0" w:color="000000"/>
              <w:left w:val="single" w:sz="6" w:space="0" w:color="000000"/>
              <w:bottom w:val="single" w:sz="6" w:space="0" w:color="000000"/>
              <w:right w:val="single" w:sz="6" w:space="0" w:color="000000"/>
            </w:tcBorders>
            <w:hideMark/>
          </w:tcPr>
          <w:p w14:paraId="7C15E232" w14:textId="77777777" w:rsidR="008A15BA" w:rsidRPr="008A15BA" w:rsidRDefault="008A15BA" w:rsidP="008A15BA">
            <w:pPr>
              <w:spacing w:line="240" w:lineRule="auto"/>
              <w:rPr>
                <w:sz w:val="18"/>
                <w:szCs w:val="18"/>
              </w:rPr>
            </w:pPr>
            <w:r w:rsidRPr="008A15BA">
              <w:rPr>
                <w:b/>
                <w:bCs/>
                <w:sz w:val="18"/>
                <w:szCs w:val="18"/>
              </w:rPr>
              <w:t>Not Bank/Credit Union Deposits or Obligations</w:t>
            </w:r>
            <w:r w:rsidRPr="008A15BA">
              <w:rPr>
                <w:sz w:val="18"/>
                <w:szCs w:val="18"/>
              </w:rPr>
              <w:t> </w:t>
            </w:r>
          </w:p>
        </w:tc>
        <w:tc>
          <w:tcPr>
            <w:tcW w:w="1118" w:type="dxa"/>
            <w:tcBorders>
              <w:top w:val="single" w:sz="6" w:space="0" w:color="000000"/>
              <w:left w:val="single" w:sz="6" w:space="0" w:color="000000"/>
              <w:bottom w:val="single" w:sz="6" w:space="0" w:color="000000"/>
              <w:right w:val="single" w:sz="6" w:space="0" w:color="000000"/>
            </w:tcBorders>
            <w:hideMark/>
          </w:tcPr>
          <w:p w14:paraId="6E939D29" w14:textId="77777777" w:rsidR="008A15BA" w:rsidRPr="008A15BA" w:rsidRDefault="008A15BA" w:rsidP="008A15BA">
            <w:pPr>
              <w:spacing w:line="240" w:lineRule="auto"/>
              <w:rPr>
                <w:sz w:val="18"/>
                <w:szCs w:val="18"/>
              </w:rPr>
            </w:pPr>
            <w:r w:rsidRPr="008A15BA">
              <w:rPr>
                <w:b/>
                <w:bCs/>
                <w:sz w:val="18"/>
                <w:szCs w:val="18"/>
              </w:rPr>
              <w:t>May Lose Value</w:t>
            </w:r>
            <w:r w:rsidRPr="008A15BA">
              <w:rPr>
                <w:sz w:val="18"/>
                <w:szCs w:val="18"/>
              </w:rPr>
              <w:t> </w:t>
            </w:r>
          </w:p>
        </w:tc>
      </w:tr>
    </w:tbl>
    <w:p w14:paraId="34F3EDA1" w14:textId="77777777" w:rsidR="008A15BA" w:rsidRDefault="008A15BA" w:rsidP="008A15BA">
      <w:pPr>
        <w:spacing w:line="240" w:lineRule="auto"/>
        <w:rPr>
          <w:sz w:val="18"/>
          <w:szCs w:val="18"/>
        </w:rPr>
      </w:pPr>
    </w:p>
    <w:p w14:paraId="5C88FE13" w14:textId="77777777" w:rsidR="00E05D46" w:rsidRPr="00B15C56" w:rsidRDefault="00E05D46" w:rsidP="00E05D46">
      <w:pPr>
        <w:jc w:val="both"/>
        <w:rPr>
          <w:rFonts w:ascii="Tenorite" w:hAnsi="Tenorite"/>
          <w:color w:val="4A4F53"/>
          <w:sz w:val="16"/>
        </w:rPr>
      </w:pPr>
      <w:bookmarkStart w:id="2" w:name="_Hlk192606935"/>
      <w:r w:rsidRPr="00B15C56">
        <w:rPr>
          <w:rFonts w:ascii="Tenorite" w:hAnsi="Tenorite"/>
          <w:color w:val="4A4F53"/>
          <w:sz w:val="16"/>
        </w:rPr>
        <w:t>RES-000</w:t>
      </w:r>
      <w:r>
        <w:rPr>
          <w:rFonts w:ascii="Tenorite" w:hAnsi="Tenorite"/>
          <w:color w:val="4A4F53"/>
          <w:sz w:val="16"/>
        </w:rPr>
        <w:t>6305</w:t>
      </w:r>
      <w:r w:rsidRPr="00B15C56">
        <w:rPr>
          <w:rFonts w:ascii="Tenorite" w:hAnsi="Tenorite"/>
          <w:color w:val="4A4F53"/>
          <w:sz w:val="16"/>
        </w:rPr>
        <w:t>-</w:t>
      </w:r>
      <w:r>
        <w:rPr>
          <w:rFonts w:ascii="Tenorite" w:hAnsi="Tenorite"/>
          <w:color w:val="4A4F53"/>
          <w:sz w:val="16"/>
        </w:rPr>
        <w:t>10</w:t>
      </w:r>
      <w:r w:rsidRPr="00B15C56">
        <w:rPr>
          <w:rFonts w:ascii="Tenorite" w:hAnsi="Tenorite"/>
          <w:color w:val="4A4F53"/>
          <w:sz w:val="16"/>
        </w:rPr>
        <w:t>25 | For Public Use | Tracking #</w:t>
      </w:r>
      <w:r>
        <w:rPr>
          <w:rFonts w:ascii="Tenorite" w:hAnsi="Tenorite"/>
          <w:color w:val="4A4F53"/>
          <w:sz w:val="16"/>
        </w:rPr>
        <w:t>819847</w:t>
      </w:r>
      <w:r w:rsidRPr="00B15C56">
        <w:rPr>
          <w:rFonts w:ascii="Tenorite" w:hAnsi="Tenorite"/>
          <w:color w:val="4A4F53"/>
          <w:sz w:val="16"/>
        </w:rPr>
        <w:t xml:space="preserve"> | #</w:t>
      </w:r>
      <w:r>
        <w:rPr>
          <w:rFonts w:ascii="Tenorite" w:hAnsi="Tenorite"/>
          <w:color w:val="4A4F53"/>
          <w:sz w:val="16"/>
        </w:rPr>
        <w:t>819848</w:t>
      </w:r>
      <w:r w:rsidRPr="00B15C56">
        <w:rPr>
          <w:rFonts w:ascii="Tenorite" w:hAnsi="Tenorite"/>
          <w:color w:val="4A4F53"/>
          <w:sz w:val="16"/>
        </w:rPr>
        <w:t xml:space="preserve"> (Exp. </w:t>
      </w:r>
      <w:r>
        <w:rPr>
          <w:rFonts w:ascii="Tenorite" w:hAnsi="Tenorite"/>
          <w:color w:val="4A4F53"/>
          <w:sz w:val="16"/>
        </w:rPr>
        <w:t>11</w:t>
      </w:r>
      <w:r w:rsidRPr="00B15C56">
        <w:rPr>
          <w:rFonts w:ascii="Tenorite" w:hAnsi="Tenorite"/>
          <w:color w:val="4A4F53"/>
          <w:sz w:val="16"/>
        </w:rPr>
        <w:t>/2026)</w:t>
      </w:r>
    </w:p>
    <w:bookmarkEnd w:id="2"/>
    <w:p w14:paraId="6DAA1726" w14:textId="77777777" w:rsidR="007875AB" w:rsidRPr="007875AB" w:rsidRDefault="007875AB" w:rsidP="00075305">
      <w:pPr>
        <w:spacing w:line="240" w:lineRule="auto"/>
      </w:pPr>
    </w:p>
    <w:sectPr w:rsidR="007875AB" w:rsidRPr="007875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enorite">
    <w:charset w:val="00"/>
    <w:family w:val="auto"/>
    <w:pitch w:val="variable"/>
    <w:sig w:usb0="80000003" w:usb1="00000001" w:usb2="00000000" w:usb3="00000000" w:csb0="00000001" w:csb1="00000000"/>
  </w:font>
  <w:font w:name="Univers 47 CondensedLight">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772F8"/>
    <w:multiLevelType w:val="hybridMultilevel"/>
    <w:tmpl w:val="EE2A6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AE86E02"/>
    <w:multiLevelType w:val="hybridMultilevel"/>
    <w:tmpl w:val="2E38999C"/>
    <w:lvl w:ilvl="0" w:tplc="EC42306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9A6D44"/>
    <w:multiLevelType w:val="hybridMultilevel"/>
    <w:tmpl w:val="CB003DC8"/>
    <w:lvl w:ilvl="0" w:tplc="04090001">
      <w:start w:val="1"/>
      <w:numFmt w:val="bullet"/>
      <w:lvlText w:val=""/>
      <w:lvlJc w:val="left"/>
      <w:pPr>
        <w:ind w:left="720" w:hanging="360"/>
      </w:pPr>
      <w:rPr>
        <w:rFonts w:ascii="Symbol" w:hAnsi="Symbol" w:hint="default"/>
        <w:color w:val="BE55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B743594"/>
    <w:multiLevelType w:val="hybridMultilevel"/>
    <w:tmpl w:val="6764D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F6C0553"/>
    <w:multiLevelType w:val="hybridMultilevel"/>
    <w:tmpl w:val="FA6C9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38021899">
    <w:abstractNumId w:val="1"/>
  </w:num>
  <w:num w:numId="2" w16cid:durableId="2013486950">
    <w:abstractNumId w:val="3"/>
  </w:num>
  <w:num w:numId="3" w16cid:durableId="426386735">
    <w:abstractNumId w:val="0"/>
  </w:num>
  <w:num w:numId="4" w16cid:durableId="2015913552">
    <w:abstractNumId w:val="4"/>
  </w:num>
  <w:num w:numId="5" w16cid:durableId="419372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5AB"/>
    <w:rsid w:val="00075305"/>
    <w:rsid w:val="000F708A"/>
    <w:rsid w:val="002041B2"/>
    <w:rsid w:val="004046F5"/>
    <w:rsid w:val="005920A9"/>
    <w:rsid w:val="005C3577"/>
    <w:rsid w:val="005E11A0"/>
    <w:rsid w:val="00626CB0"/>
    <w:rsid w:val="006567AB"/>
    <w:rsid w:val="006A3DE7"/>
    <w:rsid w:val="007204F3"/>
    <w:rsid w:val="00756282"/>
    <w:rsid w:val="007875AB"/>
    <w:rsid w:val="008810D1"/>
    <w:rsid w:val="008A15BA"/>
    <w:rsid w:val="008F0E54"/>
    <w:rsid w:val="009F28AC"/>
    <w:rsid w:val="00A863A7"/>
    <w:rsid w:val="00B82E04"/>
    <w:rsid w:val="00C23955"/>
    <w:rsid w:val="00CD0A80"/>
    <w:rsid w:val="00CD7D8A"/>
    <w:rsid w:val="00CE4F40"/>
    <w:rsid w:val="00D135CD"/>
    <w:rsid w:val="00D4135D"/>
    <w:rsid w:val="00DC5A2A"/>
    <w:rsid w:val="00DD33DF"/>
    <w:rsid w:val="00E05D46"/>
    <w:rsid w:val="00E126C2"/>
    <w:rsid w:val="00EC37DB"/>
    <w:rsid w:val="00F80991"/>
    <w:rsid w:val="00FC1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ACF610"/>
  <w15:chartTrackingRefBased/>
  <w15:docId w15:val="{89570178-A765-445F-BCB9-9DA0F8848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875AB"/>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7875AB"/>
    <w:rPr>
      <w:kern w:val="0"/>
      <w14:ligatures w14:val="none"/>
    </w:rPr>
  </w:style>
  <w:style w:type="character" w:styleId="Hyperlink">
    <w:name w:val="Hyperlink"/>
    <w:basedOn w:val="DefaultParagraphFont"/>
    <w:uiPriority w:val="99"/>
    <w:unhideWhenUsed/>
    <w:rsid w:val="007875AB"/>
    <w:rPr>
      <w:color w:val="0563C1" w:themeColor="hyperlink"/>
      <w:u w:val="single"/>
    </w:rPr>
  </w:style>
  <w:style w:type="paragraph" w:styleId="ListParagraph">
    <w:name w:val="List Paragraph"/>
    <w:basedOn w:val="Normal"/>
    <w:uiPriority w:val="34"/>
    <w:qFormat/>
    <w:rsid w:val="00626CB0"/>
    <w:pPr>
      <w:spacing w:after="200" w:line="276" w:lineRule="auto"/>
      <w:ind w:left="720"/>
      <w:contextualSpacing/>
    </w:pPr>
    <w:rPr>
      <w:kern w:val="0"/>
      <w14:ligatures w14:val="none"/>
    </w:rPr>
  </w:style>
  <w:style w:type="paragraph" w:styleId="HTMLPreformatted">
    <w:name w:val="HTML Preformatted"/>
    <w:basedOn w:val="Normal"/>
    <w:link w:val="HTMLPreformattedChar"/>
    <w:uiPriority w:val="99"/>
    <w:semiHidden/>
    <w:unhideWhenUsed/>
    <w:rsid w:val="00EC37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EC37DB"/>
    <w:rPr>
      <w:rFonts w:ascii="Courier New" w:hAnsi="Courier New" w:cs="Courier New"/>
      <w:kern w:val="0"/>
      <w:sz w:val="20"/>
      <w:szCs w:val="20"/>
      <w14:ligatures w14:val="none"/>
    </w:rPr>
  </w:style>
  <w:style w:type="paragraph" w:customStyle="1" w:styleId="xmsonormal">
    <w:name w:val="x_msonormal"/>
    <w:basedOn w:val="Normal"/>
    <w:rsid w:val="004046F5"/>
    <w:pPr>
      <w:spacing w:after="0" w:line="240" w:lineRule="auto"/>
    </w:pPr>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80464">
      <w:bodyDiv w:val="1"/>
      <w:marLeft w:val="0"/>
      <w:marRight w:val="0"/>
      <w:marTop w:val="0"/>
      <w:marBottom w:val="0"/>
      <w:divBdr>
        <w:top w:val="none" w:sz="0" w:space="0" w:color="auto"/>
        <w:left w:val="none" w:sz="0" w:space="0" w:color="auto"/>
        <w:bottom w:val="none" w:sz="0" w:space="0" w:color="auto"/>
        <w:right w:val="none" w:sz="0" w:space="0" w:color="auto"/>
      </w:divBdr>
    </w:div>
    <w:div w:id="148132144">
      <w:bodyDiv w:val="1"/>
      <w:marLeft w:val="0"/>
      <w:marRight w:val="0"/>
      <w:marTop w:val="0"/>
      <w:marBottom w:val="0"/>
      <w:divBdr>
        <w:top w:val="none" w:sz="0" w:space="0" w:color="auto"/>
        <w:left w:val="none" w:sz="0" w:space="0" w:color="auto"/>
        <w:bottom w:val="none" w:sz="0" w:space="0" w:color="auto"/>
        <w:right w:val="none" w:sz="0" w:space="0" w:color="auto"/>
      </w:divBdr>
    </w:div>
    <w:div w:id="201946395">
      <w:bodyDiv w:val="1"/>
      <w:marLeft w:val="0"/>
      <w:marRight w:val="0"/>
      <w:marTop w:val="0"/>
      <w:marBottom w:val="0"/>
      <w:divBdr>
        <w:top w:val="none" w:sz="0" w:space="0" w:color="auto"/>
        <w:left w:val="none" w:sz="0" w:space="0" w:color="auto"/>
        <w:bottom w:val="none" w:sz="0" w:space="0" w:color="auto"/>
        <w:right w:val="none" w:sz="0" w:space="0" w:color="auto"/>
      </w:divBdr>
    </w:div>
    <w:div w:id="497112510">
      <w:bodyDiv w:val="1"/>
      <w:marLeft w:val="0"/>
      <w:marRight w:val="0"/>
      <w:marTop w:val="0"/>
      <w:marBottom w:val="0"/>
      <w:divBdr>
        <w:top w:val="none" w:sz="0" w:space="0" w:color="auto"/>
        <w:left w:val="none" w:sz="0" w:space="0" w:color="auto"/>
        <w:bottom w:val="none" w:sz="0" w:space="0" w:color="auto"/>
        <w:right w:val="none" w:sz="0" w:space="0" w:color="auto"/>
      </w:divBdr>
      <w:divsChild>
        <w:div w:id="1913268348">
          <w:marLeft w:val="0"/>
          <w:marRight w:val="0"/>
          <w:marTop w:val="0"/>
          <w:marBottom w:val="0"/>
          <w:divBdr>
            <w:top w:val="none" w:sz="0" w:space="0" w:color="auto"/>
            <w:left w:val="none" w:sz="0" w:space="0" w:color="auto"/>
            <w:bottom w:val="none" w:sz="0" w:space="0" w:color="auto"/>
            <w:right w:val="none" w:sz="0" w:space="0" w:color="auto"/>
          </w:divBdr>
        </w:div>
        <w:div w:id="938148386">
          <w:marLeft w:val="0"/>
          <w:marRight w:val="0"/>
          <w:marTop w:val="0"/>
          <w:marBottom w:val="0"/>
          <w:divBdr>
            <w:top w:val="none" w:sz="0" w:space="0" w:color="auto"/>
            <w:left w:val="none" w:sz="0" w:space="0" w:color="auto"/>
            <w:bottom w:val="none" w:sz="0" w:space="0" w:color="auto"/>
            <w:right w:val="none" w:sz="0" w:space="0" w:color="auto"/>
          </w:divBdr>
        </w:div>
        <w:div w:id="1601912311">
          <w:marLeft w:val="0"/>
          <w:marRight w:val="0"/>
          <w:marTop w:val="0"/>
          <w:marBottom w:val="0"/>
          <w:divBdr>
            <w:top w:val="none" w:sz="0" w:space="0" w:color="auto"/>
            <w:left w:val="none" w:sz="0" w:space="0" w:color="auto"/>
            <w:bottom w:val="none" w:sz="0" w:space="0" w:color="auto"/>
            <w:right w:val="none" w:sz="0" w:space="0" w:color="auto"/>
          </w:divBdr>
        </w:div>
        <w:div w:id="943806777">
          <w:marLeft w:val="0"/>
          <w:marRight w:val="0"/>
          <w:marTop w:val="0"/>
          <w:marBottom w:val="0"/>
          <w:divBdr>
            <w:top w:val="none" w:sz="0" w:space="0" w:color="auto"/>
            <w:left w:val="none" w:sz="0" w:space="0" w:color="auto"/>
            <w:bottom w:val="none" w:sz="0" w:space="0" w:color="auto"/>
            <w:right w:val="none" w:sz="0" w:space="0" w:color="auto"/>
          </w:divBdr>
        </w:div>
        <w:div w:id="1895042394">
          <w:marLeft w:val="0"/>
          <w:marRight w:val="0"/>
          <w:marTop w:val="0"/>
          <w:marBottom w:val="0"/>
          <w:divBdr>
            <w:top w:val="none" w:sz="0" w:space="0" w:color="auto"/>
            <w:left w:val="none" w:sz="0" w:space="0" w:color="auto"/>
            <w:bottom w:val="none" w:sz="0" w:space="0" w:color="auto"/>
            <w:right w:val="none" w:sz="0" w:space="0" w:color="auto"/>
          </w:divBdr>
        </w:div>
        <w:div w:id="1034113939">
          <w:marLeft w:val="0"/>
          <w:marRight w:val="0"/>
          <w:marTop w:val="0"/>
          <w:marBottom w:val="0"/>
          <w:divBdr>
            <w:top w:val="none" w:sz="0" w:space="0" w:color="auto"/>
            <w:left w:val="none" w:sz="0" w:space="0" w:color="auto"/>
            <w:bottom w:val="none" w:sz="0" w:space="0" w:color="auto"/>
            <w:right w:val="none" w:sz="0" w:space="0" w:color="auto"/>
          </w:divBdr>
        </w:div>
        <w:div w:id="1321348363">
          <w:marLeft w:val="0"/>
          <w:marRight w:val="0"/>
          <w:marTop w:val="0"/>
          <w:marBottom w:val="0"/>
          <w:divBdr>
            <w:top w:val="none" w:sz="0" w:space="0" w:color="auto"/>
            <w:left w:val="none" w:sz="0" w:space="0" w:color="auto"/>
            <w:bottom w:val="none" w:sz="0" w:space="0" w:color="auto"/>
            <w:right w:val="none" w:sz="0" w:space="0" w:color="auto"/>
          </w:divBdr>
        </w:div>
      </w:divsChild>
    </w:div>
    <w:div w:id="598686437">
      <w:bodyDiv w:val="1"/>
      <w:marLeft w:val="0"/>
      <w:marRight w:val="0"/>
      <w:marTop w:val="0"/>
      <w:marBottom w:val="0"/>
      <w:divBdr>
        <w:top w:val="none" w:sz="0" w:space="0" w:color="auto"/>
        <w:left w:val="none" w:sz="0" w:space="0" w:color="auto"/>
        <w:bottom w:val="none" w:sz="0" w:space="0" w:color="auto"/>
        <w:right w:val="none" w:sz="0" w:space="0" w:color="auto"/>
      </w:divBdr>
      <w:divsChild>
        <w:div w:id="310213857">
          <w:marLeft w:val="0"/>
          <w:marRight w:val="0"/>
          <w:marTop w:val="0"/>
          <w:marBottom w:val="0"/>
          <w:divBdr>
            <w:top w:val="none" w:sz="0" w:space="0" w:color="auto"/>
            <w:left w:val="none" w:sz="0" w:space="0" w:color="auto"/>
            <w:bottom w:val="none" w:sz="0" w:space="0" w:color="auto"/>
            <w:right w:val="none" w:sz="0" w:space="0" w:color="auto"/>
          </w:divBdr>
        </w:div>
        <w:div w:id="83535">
          <w:marLeft w:val="0"/>
          <w:marRight w:val="0"/>
          <w:marTop w:val="0"/>
          <w:marBottom w:val="0"/>
          <w:divBdr>
            <w:top w:val="none" w:sz="0" w:space="0" w:color="auto"/>
            <w:left w:val="none" w:sz="0" w:space="0" w:color="auto"/>
            <w:bottom w:val="none" w:sz="0" w:space="0" w:color="auto"/>
            <w:right w:val="none" w:sz="0" w:space="0" w:color="auto"/>
          </w:divBdr>
        </w:div>
        <w:div w:id="1609463264">
          <w:marLeft w:val="0"/>
          <w:marRight w:val="0"/>
          <w:marTop w:val="0"/>
          <w:marBottom w:val="0"/>
          <w:divBdr>
            <w:top w:val="none" w:sz="0" w:space="0" w:color="auto"/>
            <w:left w:val="none" w:sz="0" w:space="0" w:color="auto"/>
            <w:bottom w:val="none" w:sz="0" w:space="0" w:color="auto"/>
            <w:right w:val="none" w:sz="0" w:space="0" w:color="auto"/>
          </w:divBdr>
        </w:div>
        <w:div w:id="829835687">
          <w:marLeft w:val="0"/>
          <w:marRight w:val="0"/>
          <w:marTop w:val="0"/>
          <w:marBottom w:val="0"/>
          <w:divBdr>
            <w:top w:val="none" w:sz="0" w:space="0" w:color="auto"/>
            <w:left w:val="none" w:sz="0" w:space="0" w:color="auto"/>
            <w:bottom w:val="none" w:sz="0" w:space="0" w:color="auto"/>
            <w:right w:val="none" w:sz="0" w:space="0" w:color="auto"/>
          </w:divBdr>
        </w:div>
        <w:div w:id="892429109">
          <w:marLeft w:val="0"/>
          <w:marRight w:val="0"/>
          <w:marTop w:val="0"/>
          <w:marBottom w:val="0"/>
          <w:divBdr>
            <w:top w:val="none" w:sz="0" w:space="0" w:color="auto"/>
            <w:left w:val="none" w:sz="0" w:space="0" w:color="auto"/>
            <w:bottom w:val="none" w:sz="0" w:space="0" w:color="auto"/>
            <w:right w:val="none" w:sz="0" w:space="0" w:color="auto"/>
          </w:divBdr>
        </w:div>
        <w:div w:id="2070758679">
          <w:marLeft w:val="0"/>
          <w:marRight w:val="0"/>
          <w:marTop w:val="0"/>
          <w:marBottom w:val="0"/>
          <w:divBdr>
            <w:top w:val="none" w:sz="0" w:space="0" w:color="auto"/>
            <w:left w:val="none" w:sz="0" w:space="0" w:color="auto"/>
            <w:bottom w:val="none" w:sz="0" w:space="0" w:color="auto"/>
            <w:right w:val="none" w:sz="0" w:space="0" w:color="auto"/>
          </w:divBdr>
        </w:div>
        <w:div w:id="597564115">
          <w:marLeft w:val="0"/>
          <w:marRight w:val="0"/>
          <w:marTop w:val="0"/>
          <w:marBottom w:val="0"/>
          <w:divBdr>
            <w:top w:val="none" w:sz="0" w:space="0" w:color="auto"/>
            <w:left w:val="none" w:sz="0" w:space="0" w:color="auto"/>
            <w:bottom w:val="none" w:sz="0" w:space="0" w:color="auto"/>
            <w:right w:val="none" w:sz="0" w:space="0" w:color="auto"/>
          </w:divBdr>
        </w:div>
        <w:div w:id="349338982">
          <w:marLeft w:val="0"/>
          <w:marRight w:val="0"/>
          <w:marTop w:val="0"/>
          <w:marBottom w:val="0"/>
          <w:divBdr>
            <w:top w:val="none" w:sz="0" w:space="0" w:color="auto"/>
            <w:left w:val="none" w:sz="0" w:space="0" w:color="auto"/>
            <w:bottom w:val="none" w:sz="0" w:space="0" w:color="auto"/>
            <w:right w:val="none" w:sz="0" w:space="0" w:color="auto"/>
          </w:divBdr>
        </w:div>
        <w:div w:id="1313635684">
          <w:marLeft w:val="0"/>
          <w:marRight w:val="0"/>
          <w:marTop w:val="0"/>
          <w:marBottom w:val="0"/>
          <w:divBdr>
            <w:top w:val="none" w:sz="0" w:space="0" w:color="auto"/>
            <w:left w:val="none" w:sz="0" w:space="0" w:color="auto"/>
            <w:bottom w:val="none" w:sz="0" w:space="0" w:color="auto"/>
            <w:right w:val="none" w:sz="0" w:space="0" w:color="auto"/>
          </w:divBdr>
        </w:div>
        <w:div w:id="232933205">
          <w:marLeft w:val="0"/>
          <w:marRight w:val="0"/>
          <w:marTop w:val="0"/>
          <w:marBottom w:val="0"/>
          <w:divBdr>
            <w:top w:val="none" w:sz="0" w:space="0" w:color="auto"/>
            <w:left w:val="none" w:sz="0" w:space="0" w:color="auto"/>
            <w:bottom w:val="none" w:sz="0" w:space="0" w:color="auto"/>
            <w:right w:val="none" w:sz="0" w:space="0" w:color="auto"/>
          </w:divBdr>
        </w:div>
      </w:divsChild>
    </w:div>
    <w:div w:id="618222040">
      <w:bodyDiv w:val="1"/>
      <w:marLeft w:val="0"/>
      <w:marRight w:val="0"/>
      <w:marTop w:val="0"/>
      <w:marBottom w:val="0"/>
      <w:divBdr>
        <w:top w:val="none" w:sz="0" w:space="0" w:color="auto"/>
        <w:left w:val="none" w:sz="0" w:space="0" w:color="auto"/>
        <w:bottom w:val="none" w:sz="0" w:space="0" w:color="auto"/>
        <w:right w:val="none" w:sz="0" w:space="0" w:color="auto"/>
      </w:divBdr>
      <w:divsChild>
        <w:div w:id="1237208554">
          <w:marLeft w:val="0"/>
          <w:marRight w:val="0"/>
          <w:marTop w:val="0"/>
          <w:marBottom w:val="0"/>
          <w:divBdr>
            <w:top w:val="none" w:sz="0" w:space="0" w:color="auto"/>
            <w:left w:val="none" w:sz="0" w:space="0" w:color="auto"/>
            <w:bottom w:val="none" w:sz="0" w:space="0" w:color="auto"/>
            <w:right w:val="none" w:sz="0" w:space="0" w:color="auto"/>
          </w:divBdr>
        </w:div>
        <w:div w:id="850146616">
          <w:marLeft w:val="0"/>
          <w:marRight w:val="0"/>
          <w:marTop w:val="0"/>
          <w:marBottom w:val="0"/>
          <w:divBdr>
            <w:top w:val="none" w:sz="0" w:space="0" w:color="auto"/>
            <w:left w:val="none" w:sz="0" w:space="0" w:color="auto"/>
            <w:bottom w:val="none" w:sz="0" w:space="0" w:color="auto"/>
            <w:right w:val="none" w:sz="0" w:space="0" w:color="auto"/>
          </w:divBdr>
        </w:div>
        <w:div w:id="1333724338">
          <w:marLeft w:val="0"/>
          <w:marRight w:val="0"/>
          <w:marTop w:val="0"/>
          <w:marBottom w:val="0"/>
          <w:divBdr>
            <w:top w:val="none" w:sz="0" w:space="0" w:color="auto"/>
            <w:left w:val="none" w:sz="0" w:space="0" w:color="auto"/>
            <w:bottom w:val="none" w:sz="0" w:space="0" w:color="auto"/>
            <w:right w:val="none" w:sz="0" w:space="0" w:color="auto"/>
          </w:divBdr>
        </w:div>
        <w:div w:id="565847530">
          <w:marLeft w:val="0"/>
          <w:marRight w:val="0"/>
          <w:marTop w:val="0"/>
          <w:marBottom w:val="0"/>
          <w:divBdr>
            <w:top w:val="none" w:sz="0" w:space="0" w:color="auto"/>
            <w:left w:val="none" w:sz="0" w:space="0" w:color="auto"/>
            <w:bottom w:val="none" w:sz="0" w:space="0" w:color="auto"/>
            <w:right w:val="none" w:sz="0" w:space="0" w:color="auto"/>
          </w:divBdr>
        </w:div>
        <w:div w:id="376129766">
          <w:marLeft w:val="0"/>
          <w:marRight w:val="0"/>
          <w:marTop w:val="0"/>
          <w:marBottom w:val="0"/>
          <w:divBdr>
            <w:top w:val="none" w:sz="0" w:space="0" w:color="auto"/>
            <w:left w:val="none" w:sz="0" w:space="0" w:color="auto"/>
            <w:bottom w:val="none" w:sz="0" w:space="0" w:color="auto"/>
            <w:right w:val="none" w:sz="0" w:space="0" w:color="auto"/>
          </w:divBdr>
        </w:div>
        <w:div w:id="1016231142">
          <w:marLeft w:val="0"/>
          <w:marRight w:val="0"/>
          <w:marTop w:val="0"/>
          <w:marBottom w:val="0"/>
          <w:divBdr>
            <w:top w:val="none" w:sz="0" w:space="0" w:color="auto"/>
            <w:left w:val="none" w:sz="0" w:space="0" w:color="auto"/>
            <w:bottom w:val="none" w:sz="0" w:space="0" w:color="auto"/>
            <w:right w:val="none" w:sz="0" w:space="0" w:color="auto"/>
          </w:divBdr>
        </w:div>
        <w:div w:id="1026325178">
          <w:marLeft w:val="0"/>
          <w:marRight w:val="0"/>
          <w:marTop w:val="0"/>
          <w:marBottom w:val="0"/>
          <w:divBdr>
            <w:top w:val="none" w:sz="0" w:space="0" w:color="auto"/>
            <w:left w:val="none" w:sz="0" w:space="0" w:color="auto"/>
            <w:bottom w:val="none" w:sz="0" w:space="0" w:color="auto"/>
            <w:right w:val="none" w:sz="0" w:space="0" w:color="auto"/>
          </w:divBdr>
        </w:div>
        <w:div w:id="1500535530">
          <w:marLeft w:val="0"/>
          <w:marRight w:val="0"/>
          <w:marTop w:val="0"/>
          <w:marBottom w:val="0"/>
          <w:divBdr>
            <w:top w:val="none" w:sz="0" w:space="0" w:color="auto"/>
            <w:left w:val="none" w:sz="0" w:space="0" w:color="auto"/>
            <w:bottom w:val="none" w:sz="0" w:space="0" w:color="auto"/>
            <w:right w:val="none" w:sz="0" w:space="0" w:color="auto"/>
          </w:divBdr>
        </w:div>
        <w:div w:id="2035032049">
          <w:marLeft w:val="0"/>
          <w:marRight w:val="0"/>
          <w:marTop w:val="0"/>
          <w:marBottom w:val="0"/>
          <w:divBdr>
            <w:top w:val="none" w:sz="0" w:space="0" w:color="auto"/>
            <w:left w:val="none" w:sz="0" w:space="0" w:color="auto"/>
            <w:bottom w:val="none" w:sz="0" w:space="0" w:color="auto"/>
            <w:right w:val="none" w:sz="0" w:space="0" w:color="auto"/>
          </w:divBdr>
        </w:div>
        <w:div w:id="1674870613">
          <w:marLeft w:val="0"/>
          <w:marRight w:val="0"/>
          <w:marTop w:val="0"/>
          <w:marBottom w:val="0"/>
          <w:divBdr>
            <w:top w:val="none" w:sz="0" w:space="0" w:color="auto"/>
            <w:left w:val="none" w:sz="0" w:space="0" w:color="auto"/>
            <w:bottom w:val="none" w:sz="0" w:space="0" w:color="auto"/>
            <w:right w:val="none" w:sz="0" w:space="0" w:color="auto"/>
          </w:divBdr>
        </w:div>
        <w:div w:id="531920158">
          <w:marLeft w:val="0"/>
          <w:marRight w:val="0"/>
          <w:marTop w:val="0"/>
          <w:marBottom w:val="0"/>
          <w:divBdr>
            <w:top w:val="none" w:sz="0" w:space="0" w:color="auto"/>
            <w:left w:val="none" w:sz="0" w:space="0" w:color="auto"/>
            <w:bottom w:val="none" w:sz="0" w:space="0" w:color="auto"/>
            <w:right w:val="none" w:sz="0" w:space="0" w:color="auto"/>
          </w:divBdr>
        </w:div>
      </w:divsChild>
    </w:div>
    <w:div w:id="1090782121">
      <w:bodyDiv w:val="1"/>
      <w:marLeft w:val="0"/>
      <w:marRight w:val="0"/>
      <w:marTop w:val="0"/>
      <w:marBottom w:val="0"/>
      <w:divBdr>
        <w:top w:val="none" w:sz="0" w:space="0" w:color="auto"/>
        <w:left w:val="none" w:sz="0" w:space="0" w:color="auto"/>
        <w:bottom w:val="none" w:sz="0" w:space="0" w:color="auto"/>
        <w:right w:val="none" w:sz="0" w:space="0" w:color="auto"/>
      </w:divBdr>
    </w:div>
    <w:div w:id="1150367644">
      <w:bodyDiv w:val="1"/>
      <w:marLeft w:val="0"/>
      <w:marRight w:val="0"/>
      <w:marTop w:val="0"/>
      <w:marBottom w:val="0"/>
      <w:divBdr>
        <w:top w:val="none" w:sz="0" w:space="0" w:color="auto"/>
        <w:left w:val="none" w:sz="0" w:space="0" w:color="auto"/>
        <w:bottom w:val="none" w:sz="0" w:space="0" w:color="auto"/>
        <w:right w:val="none" w:sz="0" w:space="0" w:color="auto"/>
      </w:divBdr>
    </w:div>
    <w:div w:id="1246501499">
      <w:bodyDiv w:val="1"/>
      <w:marLeft w:val="0"/>
      <w:marRight w:val="0"/>
      <w:marTop w:val="0"/>
      <w:marBottom w:val="0"/>
      <w:divBdr>
        <w:top w:val="none" w:sz="0" w:space="0" w:color="auto"/>
        <w:left w:val="none" w:sz="0" w:space="0" w:color="auto"/>
        <w:bottom w:val="none" w:sz="0" w:space="0" w:color="auto"/>
        <w:right w:val="none" w:sz="0" w:space="0" w:color="auto"/>
      </w:divBdr>
    </w:div>
    <w:div w:id="1364598822">
      <w:bodyDiv w:val="1"/>
      <w:marLeft w:val="0"/>
      <w:marRight w:val="0"/>
      <w:marTop w:val="0"/>
      <w:marBottom w:val="0"/>
      <w:divBdr>
        <w:top w:val="none" w:sz="0" w:space="0" w:color="auto"/>
        <w:left w:val="none" w:sz="0" w:space="0" w:color="auto"/>
        <w:bottom w:val="none" w:sz="0" w:space="0" w:color="auto"/>
        <w:right w:val="none" w:sz="0" w:space="0" w:color="auto"/>
      </w:divBdr>
      <w:divsChild>
        <w:div w:id="75900551">
          <w:marLeft w:val="0"/>
          <w:marRight w:val="0"/>
          <w:marTop w:val="0"/>
          <w:marBottom w:val="0"/>
          <w:divBdr>
            <w:top w:val="none" w:sz="0" w:space="0" w:color="auto"/>
            <w:left w:val="none" w:sz="0" w:space="0" w:color="auto"/>
            <w:bottom w:val="none" w:sz="0" w:space="0" w:color="auto"/>
            <w:right w:val="none" w:sz="0" w:space="0" w:color="auto"/>
          </w:divBdr>
        </w:div>
        <w:div w:id="749615652">
          <w:marLeft w:val="0"/>
          <w:marRight w:val="0"/>
          <w:marTop w:val="0"/>
          <w:marBottom w:val="0"/>
          <w:divBdr>
            <w:top w:val="none" w:sz="0" w:space="0" w:color="auto"/>
            <w:left w:val="none" w:sz="0" w:space="0" w:color="auto"/>
            <w:bottom w:val="none" w:sz="0" w:space="0" w:color="auto"/>
            <w:right w:val="none" w:sz="0" w:space="0" w:color="auto"/>
          </w:divBdr>
        </w:div>
        <w:div w:id="166289469">
          <w:marLeft w:val="0"/>
          <w:marRight w:val="0"/>
          <w:marTop w:val="0"/>
          <w:marBottom w:val="0"/>
          <w:divBdr>
            <w:top w:val="none" w:sz="0" w:space="0" w:color="auto"/>
            <w:left w:val="none" w:sz="0" w:space="0" w:color="auto"/>
            <w:bottom w:val="none" w:sz="0" w:space="0" w:color="auto"/>
            <w:right w:val="none" w:sz="0" w:space="0" w:color="auto"/>
          </w:divBdr>
        </w:div>
        <w:div w:id="853543615">
          <w:marLeft w:val="0"/>
          <w:marRight w:val="0"/>
          <w:marTop w:val="0"/>
          <w:marBottom w:val="0"/>
          <w:divBdr>
            <w:top w:val="none" w:sz="0" w:space="0" w:color="auto"/>
            <w:left w:val="none" w:sz="0" w:space="0" w:color="auto"/>
            <w:bottom w:val="none" w:sz="0" w:space="0" w:color="auto"/>
            <w:right w:val="none" w:sz="0" w:space="0" w:color="auto"/>
          </w:divBdr>
        </w:div>
        <w:div w:id="1372848433">
          <w:marLeft w:val="0"/>
          <w:marRight w:val="0"/>
          <w:marTop w:val="0"/>
          <w:marBottom w:val="0"/>
          <w:divBdr>
            <w:top w:val="none" w:sz="0" w:space="0" w:color="auto"/>
            <w:left w:val="none" w:sz="0" w:space="0" w:color="auto"/>
            <w:bottom w:val="none" w:sz="0" w:space="0" w:color="auto"/>
            <w:right w:val="none" w:sz="0" w:space="0" w:color="auto"/>
          </w:divBdr>
        </w:div>
        <w:div w:id="1304890790">
          <w:marLeft w:val="0"/>
          <w:marRight w:val="0"/>
          <w:marTop w:val="0"/>
          <w:marBottom w:val="0"/>
          <w:divBdr>
            <w:top w:val="none" w:sz="0" w:space="0" w:color="auto"/>
            <w:left w:val="none" w:sz="0" w:space="0" w:color="auto"/>
            <w:bottom w:val="none" w:sz="0" w:space="0" w:color="auto"/>
            <w:right w:val="none" w:sz="0" w:space="0" w:color="auto"/>
          </w:divBdr>
        </w:div>
        <w:div w:id="861044380">
          <w:marLeft w:val="0"/>
          <w:marRight w:val="0"/>
          <w:marTop w:val="0"/>
          <w:marBottom w:val="0"/>
          <w:divBdr>
            <w:top w:val="none" w:sz="0" w:space="0" w:color="auto"/>
            <w:left w:val="none" w:sz="0" w:space="0" w:color="auto"/>
            <w:bottom w:val="none" w:sz="0" w:space="0" w:color="auto"/>
            <w:right w:val="none" w:sz="0" w:space="0" w:color="auto"/>
          </w:divBdr>
        </w:div>
      </w:divsChild>
    </w:div>
    <w:div w:id="1486583227">
      <w:bodyDiv w:val="1"/>
      <w:marLeft w:val="0"/>
      <w:marRight w:val="0"/>
      <w:marTop w:val="0"/>
      <w:marBottom w:val="0"/>
      <w:divBdr>
        <w:top w:val="none" w:sz="0" w:space="0" w:color="auto"/>
        <w:left w:val="none" w:sz="0" w:space="0" w:color="auto"/>
        <w:bottom w:val="none" w:sz="0" w:space="0" w:color="auto"/>
        <w:right w:val="none" w:sz="0" w:space="0" w:color="auto"/>
      </w:divBdr>
    </w:div>
    <w:div w:id="1521433242">
      <w:bodyDiv w:val="1"/>
      <w:marLeft w:val="0"/>
      <w:marRight w:val="0"/>
      <w:marTop w:val="0"/>
      <w:marBottom w:val="0"/>
      <w:divBdr>
        <w:top w:val="none" w:sz="0" w:space="0" w:color="auto"/>
        <w:left w:val="none" w:sz="0" w:space="0" w:color="auto"/>
        <w:bottom w:val="none" w:sz="0" w:space="0" w:color="auto"/>
        <w:right w:val="none" w:sz="0" w:space="0" w:color="auto"/>
      </w:divBdr>
    </w:div>
    <w:div w:id="1557622445">
      <w:bodyDiv w:val="1"/>
      <w:marLeft w:val="0"/>
      <w:marRight w:val="0"/>
      <w:marTop w:val="0"/>
      <w:marBottom w:val="0"/>
      <w:divBdr>
        <w:top w:val="none" w:sz="0" w:space="0" w:color="auto"/>
        <w:left w:val="none" w:sz="0" w:space="0" w:color="auto"/>
        <w:bottom w:val="none" w:sz="0" w:space="0" w:color="auto"/>
        <w:right w:val="none" w:sz="0" w:space="0" w:color="auto"/>
      </w:divBdr>
    </w:div>
    <w:div w:id="1638679513">
      <w:bodyDiv w:val="1"/>
      <w:marLeft w:val="0"/>
      <w:marRight w:val="0"/>
      <w:marTop w:val="0"/>
      <w:marBottom w:val="0"/>
      <w:divBdr>
        <w:top w:val="none" w:sz="0" w:space="0" w:color="auto"/>
        <w:left w:val="none" w:sz="0" w:space="0" w:color="auto"/>
        <w:bottom w:val="none" w:sz="0" w:space="0" w:color="auto"/>
        <w:right w:val="none" w:sz="0" w:space="0" w:color="auto"/>
      </w:divBdr>
    </w:div>
    <w:div w:id="1686592577">
      <w:bodyDiv w:val="1"/>
      <w:marLeft w:val="0"/>
      <w:marRight w:val="0"/>
      <w:marTop w:val="0"/>
      <w:marBottom w:val="0"/>
      <w:divBdr>
        <w:top w:val="none" w:sz="0" w:space="0" w:color="auto"/>
        <w:left w:val="none" w:sz="0" w:space="0" w:color="auto"/>
        <w:bottom w:val="none" w:sz="0" w:space="0" w:color="auto"/>
        <w:right w:val="none" w:sz="0" w:space="0" w:color="auto"/>
      </w:divBdr>
    </w:div>
    <w:div w:id="1820418709">
      <w:bodyDiv w:val="1"/>
      <w:marLeft w:val="0"/>
      <w:marRight w:val="0"/>
      <w:marTop w:val="0"/>
      <w:marBottom w:val="0"/>
      <w:divBdr>
        <w:top w:val="none" w:sz="0" w:space="0" w:color="auto"/>
        <w:left w:val="none" w:sz="0" w:space="0" w:color="auto"/>
        <w:bottom w:val="none" w:sz="0" w:space="0" w:color="auto"/>
        <w:right w:val="none" w:sz="0" w:space="0" w:color="auto"/>
      </w:divBdr>
      <w:divsChild>
        <w:div w:id="1343162222">
          <w:marLeft w:val="0"/>
          <w:marRight w:val="0"/>
          <w:marTop w:val="0"/>
          <w:marBottom w:val="0"/>
          <w:divBdr>
            <w:top w:val="none" w:sz="0" w:space="0" w:color="auto"/>
            <w:left w:val="none" w:sz="0" w:space="0" w:color="auto"/>
            <w:bottom w:val="none" w:sz="0" w:space="0" w:color="auto"/>
            <w:right w:val="none" w:sz="0" w:space="0" w:color="auto"/>
          </w:divBdr>
        </w:div>
        <w:div w:id="227108818">
          <w:marLeft w:val="0"/>
          <w:marRight w:val="0"/>
          <w:marTop w:val="0"/>
          <w:marBottom w:val="0"/>
          <w:divBdr>
            <w:top w:val="none" w:sz="0" w:space="0" w:color="auto"/>
            <w:left w:val="none" w:sz="0" w:space="0" w:color="auto"/>
            <w:bottom w:val="none" w:sz="0" w:space="0" w:color="auto"/>
            <w:right w:val="none" w:sz="0" w:space="0" w:color="auto"/>
          </w:divBdr>
        </w:div>
        <w:div w:id="2032955014">
          <w:marLeft w:val="0"/>
          <w:marRight w:val="0"/>
          <w:marTop w:val="0"/>
          <w:marBottom w:val="0"/>
          <w:divBdr>
            <w:top w:val="none" w:sz="0" w:space="0" w:color="auto"/>
            <w:left w:val="none" w:sz="0" w:space="0" w:color="auto"/>
            <w:bottom w:val="none" w:sz="0" w:space="0" w:color="auto"/>
            <w:right w:val="none" w:sz="0" w:space="0" w:color="auto"/>
          </w:divBdr>
        </w:div>
        <w:div w:id="1153176479">
          <w:marLeft w:val="0"/>
          <w:marRight w:val="0"/>
          <w:marTop w:val="0"/>
          <w:marBottom w:val="0"/>
          <w:divBdr>
            <w:top w:val="none" w:sz="0" w:space="0" w:color="auto"/>
            <w:left w:val="none" w:sz="0" w:space="0" w:color="auto"/>
            <w:bottom w:val="none" w:sz="0" w:space="0" w:color="auto"/>
            <w:right w:val="none" w:sz="0" w:space="0" w:color="auto"/>
          </w:divBdr>
        </w:div>
        <w:div w:id="1308582615">
          <w:marLeft w:val="0"/>
          <w:marRight w:val="0"/>
          <w:marTop w:val="0"/>
          <w:marBottom w:val="0"/>
          <w:divBdr>
            <w:top w:val="none" w:sz="0" w:space="0" w:color="auto"/>
            <w:left w:val="none" w:sz="0" w:space="0" w:color="auto"/>
            <w:bottom w:val="none" w:sz="0" w:space="0" w:color="auto"/>
            <w:right w:val="none" w:sz="0" w:space="0" w:color="auto"/>
          </w:divBdr>
        </w:div>
        <w:div w:id="1746226245">
          <w:marLeft w:val="0"/>
          <w:marRight w:val="0"/>
          <w:marTop w:val="0"/>
          <w:marBottom w:val="0"/>
          <w:divBdr>
            <w:top w:val="none" w:sz="0" w:space="0" w:color="auto"/>
            <w:left w:val="none" w:sz="0" w:space="0" w:color="auto"/>
            <w:bottom w:val="none" w:sz="0" w:space="0" w:color="auto"/>
            <w:right w:val="none" w:sz="0" w:space="0" w:color="auto"/>
          </w:divBdr>
        </w:div>
        <w:div w:id="246421578">
          <w:marLeft w:val="0"/>
          <w:marRight w:val="0"/>
          <w:marTop w:val="0"/>
          <w:marBottom w:val="0"/>
          <w:divBdr>
            <w:top w:val="none" w:sz="0" w:space="0" w:color="auto"/>
            <w:left w:val="none" w:sz="0" w:space="0" w:color="auto"/>
            <w:bottom w:val="none" w:sz="0" w:space="0" w:color="auto"/>
            <w:right w:val="none" w:sz="0" w:space="0" w:color="auto"/>
          </w:divBdr>
        </w:div>
        <w:div w:id="1400205436">
          <w:marLeft w:val="0"/>
          <w:marRight w:val="0"/>
          <w:marTop w:val="0"/>
          <w:marBottom w:val="0"/>
          <w:divBdr>
            <w:top w:val="none" w:sz="0" w:space="0" w:color="auto"/>
            <w:left w:val="none" w:sz="0" w:space="0" w:color="auto"/>
            <w:bottom w:val="none" w:sz="0" w:space="0" w:color="auto"/>
            <w:right w:val="none" w:sz="0" w:space="0" w:color="auto"/>
          </w:divBdr>
        </w:div>
        <w:div w:id="1714185348">
          <w:marLeft w:val="0"/>
          <w:marRight w:val="0"/>
          <w:marTop w:val="0"/>
          <w:marBottom w:val="0"/>
          <w:divBdr>
            <w:top w:val="none" w:sz="0" w:space="0" w:color="auto"/>
            <w:left w:val="none" w:sz="0" w:space="0" w:color="auto"/>
            <w:bottom w:val="none" w:sz="0" w:space="0" w:color="auto"/>
            <w:right w:val="none" w:sz="0" w:space="0" w:color="auto"/>
          </w:divBdr>
        </w:div>
        <w:div w:id="1385786315">
          <w:marLeft w:val="0"/>
          <w:marRight w:val="0"/>
          <w:marTop w:val="0"/>
          <w:marBottom w:val="0"/>
          <w:divBdr>
            <w:top w:val="none" w:sz="0" w:space="0" w:color="auto"/>
            <w:left w:val="none" w:sz="0" w:space="0" w:color="auto"/>
            <w:bottom w:val="none" w:sz="0" w:space="0" w:color="auto"/>
            <w:right w:val="none" w:sz="0" w:space="0" w:color="auto"/>
          </w:divBdr>
        </w:div>
      </w:divsChild>
    </w:div>
    <w:div w:id="1854569576">
      <w:bodyDiv w:val="1"/>
      <w:marLeft w:val="0"/>
      <w:marRight w:val="0"/>
      <w:marTop w:val="0"/>
      <w:marBottom w:val="0"/>
      <w:divBdr>
        <w:top w:val="none" w:sz="0" w:space="0" w:color="auto"/>
        <w:left w:val="none" w:sz="0" w:space="0" w:color="auto"/>
        <w:bottom w:val="none" w:sz="0" w:space="0" w:color="auto"/>
        <w:right w:val="none" w:sz="0" w:space="0" w:color="auto"/>
      </w:divBdr>
      <w:divsChild>
        <w:div w:id="63920583">
          <w:marLeft w:val="0"/>
          <w:marRight w:val="0"/>
          <w:marTop w:val="0"/>
          <w:marBottom w:val="0"/>
          <w:divBdr>
            <w:top w:val="none" w:sz="0" w:space="0" w:color="auto"/>
            <w:left w:val="none" w:sz="0" w:space="0" w:color="auto"/>
            <w:bottom w:val="none" w:sz="0" w:space="0" w:color="auto"/>
            <w:right w:val="none" w:sz="0" w:space="0" w:color="auto"/>
          </w:divBdr>
        </w:div>
        <w:div w:id="1494684417">
          <w:marLeft w:val="0"/>
          <w:marRight w:val="0"/>
          <w:marTop w:val="0"/>
          <w:marBottom w:val="0"/>
          <w:divBdr>
            <w:top w:val="none" w:sz="0" w:space="0" w:color="auto"/>
            <w:left w:val="none" w:sz="0" w:space="0" w:color="auto"/>
            <w:bottom w:val="none" w:sz="0" w:space="0" w:color="auto"/>
            <w:right w:val="none" w:sz="0" w:space="0" w:color="auto"/>
          </w:divBdr>
        </w:div>
        <w:div w:id="247345208">
          <w:marLeft w:val="0"/>
          <w:marRight w:val="0"/>
          <w:marTop w:val="0"/>
          <w:marBottom w:val="0"/>
          <w:divBdr>
            <w:top w:val="none" w:sz="0" w:space="0" w:color="auto"/>
            <w:left w:val="none" w:sz="0" w:space="0" w:color="auto"/>
            <w:bottom w:val="none" w:sz="0" w:space="0" w:color="auto"/>
            <w:right w:val="none" w:sz="0" w:space="0" w:color="auto"/>
          </w:divBdr>
        </w:div>
        <w:div w:id="1677462207">
          <w:marLeft w:val="0"/>
          <w:marRight w:val="0"/>
          <w:marTop w:val="0"/>
          <w:marBottom w:val="0"/>
          <w:divBdr>
            <w:top w:val="none" w:sz="0" w:space="0" w:color="auto"/>
            <w:left w:val="none" w:sz="0" w:space="0" w:color="auto"/>
            <w:bottom w:val="none" w:sz="0" w:space="0" w:color="auto"/>
            <w:right w:val="none" w:sz="0" w:space="0" w:color="auto"/>
          </w:divBdr>
        </w:div>
        <w:div w:id="1376391749">
          <w:marLeft w:val="0"/>
          <w:marRight w:val="0"/>
          <w:marTop w:val="0"/>
          <w:marBottom w:val="0"/>
          <w:divBdr>
            <w:top w:val="none" w:sz="0" w:space="0" w:color="auto"/>
            <w:left w:val="none" w:sz="0" w:space="0" w:color="auto"/>
            <w:bottom w:val="none" w:sz="0" w:space="0" w:color="auto"/>
            <w:right w:val="none" w:sz="0" w:space="0" w:color="auto"/>
          </w:divBdr>
        </w:div>
        <w:div w:id="1944876080">
          <w:marLeft w:val="0"/>
          <w:marRight w:val="0"/>
          <w:marTop w:val="0"/>
          <w:marBottom w:val="0"/>
          <w:divBdr>
            <w:top w:val="none" w:sz="0" w:space="0" w:color="auto"/>
            <w:left w:val="none" w:sz="0" w:space="0" w:color="auto"/>
            <w:bottom w:val="none" w:sz="0" w:space="0" w:color="auto"/>
            <w:right w:val="none" w:sz="0" w:space="0" w:color="auto"/>
          </w:divBdr>
        </w:div>
        <w:div w:id="234243814">
          <w:marLeft w:val="0"/>
          <w:marRight w:val="0"/>
          <w:marTop w:val="0"/>
          <w:marBottom w:val="0"/>
          <w:divBdr>
            <w:top w:val="none" w:sz="0" w:space="0" w:color="auto"/>
            <w:left w:val="none" w:sz="0" w:space="0" w:color="auto"/>
            <w:bottom w:val="none" w:sz="0" w:space="0" w:color="auto"/>
            <w:right w:val="none" w:sz="0" w:space="0" w:color="auto"/>
          </w:divBdr>
        </w:div>
        <w:div w:id="17900697">
          <w:marLeft w:val="0"/>
          <w:marRight w:val="0"/>
          <w:marTop w:val="0"/>
          <w:marBottom w:val="0"/>
          <w:divBdr>
            <w:top w:val="none" w:sz="0" w:space="0" w:color="auto"/>
            <w:left w:val="none" w:sz="0" w:space="0" w:color="auto"/>
            <w:bottom w:val="none" w:sz="0" w:space="0" w:color="auto"/>
            <w:right w:val="none" w:sz="0" w:space="0" w:color="auto"/>
          </w:divBdr>
        </w:div>
        <w:div w:id="232005878">
          <w:marLeft w:val="0"/>
          <w:marRight w:val="0"/>
          <w:marTop w:val="0"/>
          <w:marBottom w:val="0"/>
          <w:divBdr>
            <w:top w:val="none" w:sz="0" w:space="0" w:color="auto"/>
            <w:left w:val="none" w:sz="0" w:space="0" w:color="auto"/>
            <w:bottom w:val="none" w:sz="0" w:space="0" w:color="auto"/>
            <w:right w:val="none" w:sz="0" w:space="0" w:color="auto"/>
          </w:divBdr>
        </w:div>
        <w:div w:id="216548163">
          <w:marLeft w:val="0"/>
          <w:marRight w:val="0"/>
          <w:marTop w:val="0"/>
          <w:marBottom w:val="0"/>
          <w:divBdr>
            <w:top w:val="none" w:sz="0" w:space="0" w:color="auto"/>
            <w:left w:val="none" w:sz="0" w:space="0" w:color="auto"/>
            <w:bottom w:val="none" w:sz="0" w:space="0" w:color="auto"/>
            <w:right w:val="none" w:sz="0" w:space="0" w:color="auto"/>
          </w:divBdr>
        </w:div>
        <w:div w:id="230194912">
          <w:marLeft w:val="0"/>
          <w:marRight w:val="0"/>
          <w:marTop w:val="0"/>
          <w:marBottom w:val="0"/>
          <w:divBdr>
            <w:top w:val="none" w:sz="0" w:space="0" w:color="auto"/>
            <w:left w:val="none" w:sz="0" w:space="0" w:color="auto"/>
            <w:bottom w:val="none" w:sz="0" w:space="0" w:color="auto"/>
            <w:right w:val="none" w:sz="0" w:space="0" w:color="auto"/>
          </w:divBdr>
        </w:div>
        <w:div w:id="387532416">
          <w:marLeft w:val="0"/>
          <w:marRight w:val="0"/>
          <w:marTop w:val="0"/>
          <w:marBottom w:val="0"/>
          <w:divBdr>
            <w:top w:val="none" w:sz="0" w:space="0" w:color="auto"/>
            <w:left w:val="none" w:sz="0" w:space="0" w:color="auto"/>
            <w:bottom w:val="none" w:sz="0" w:space="0" w:color="auto"/>
            <w:right w:val="none" w:sz="0" w:space="0" w:color="auto"/>
          </w:divBdr>
        </w:div>
        <w:div w:id="782070652">
          <w:marLeft w:val="0"/>
          <w:marRight w:val="0"/>
          <w:marTop w:val="0"/>
          <w:marBottom w:val="0"/>
          <w:divBdr>
            <w:top w:val="none" w:sz="0" w:space="0" w:color="auto"/>
            <w:left w:val="none" w:sz="0" w:space="0" w:color="auto"/>
            <w:bottom w:val="none" w:sz="0" w:space="0" w:color="auto"/>
            <w:right w:val="none" w:sz="0" w:space="0" w:color="auto"/>
          </w:divBdr>
          <w:divsChild>
            <w:div w:id="927344300">
              <w:marLeft w:val="-75"/>
              <w:marRight w:val="0"/>
              <w:marTop w:val="30"/>
              <w:marBottom w:val="30"/>
              <w:divBdr>
                <w:top w:val="none" w:sz="0" w:space="0" w:color="auto"/>
                <w:left w:val="none" w:sz="0" w:space="0" w:color="auto"/>
                <w:bottom w:val="none" w:sz="0" w:space="0" w:color="auto"/>
                <w:right w:val="none" w:sz="0" w:space="0" w:color="auto"/>
              </w:divBdr>
              <w:divsChild>
                <w:div w:id="839345477">
                  <w:marLeft w:val="0"/>
                  <w:marRight w:val="0"/>
                  <w:marTop w:val="0"/>
                  <w:marBottom w:val="0"/>
                  <w:divBdr>
                    <w:top w:val="none" w:sz="0" w:space="0" w:color="auto"/>
                    <w:left w:val="none" w:sz="0" w:space="0" w:color="auto"/>
                    <w:bottom w:val="none" w:sz="0" w:space="0" w:color="auto"/>
                    <w:right w:val="none" w:sz="0" w:space="0" w:color="auto"/>
                  </w:divBdr>
                  <w:divsChild>
                    <w:div w:id="731074533">
                      <w:marLeft w:val="0"/>
                      <w:marRight w:val="0"/>
                      <w:marTop w:val="0"/>
                      <w:marBottom w:val="0"/>
                      <w:divBdr>
                        <w:top w:val="none" w:sz="0" w:space="0" w:color="auto"/>
                        <w:left w:val="none" w:sz="0" w:space="0" w:color="auto"/>
                        <w:bottom w:val="none" w:sz="0" w:space="0" w:color="auto"/>
                        <w:right w:val="none" w:sz="0" w:space="0" w:color="auto"/>
                      </w:divBdr>
                    </w:div>
                  </w:divsChild>
                </w:div>
                <w:div w:id="1681659435">
                  <w:marLeft w:val="0"/>
                  <w:marRight w:val="0"/>
                  <w:marTop w:val="0"/>
                  <w:marBottom w:val="0"/>
                  <w:divBdr>
                    <w:top w:val="none" w:sz="0" w:space="0" w:color="auto"/>
                    <w:left w:val="none" w:sz="0" w:space="0" w:color="auto"/>
                    <w:bottom w:val="none" w:sz="0" w:space="0" w:color="auto"/>
                    <w:right w:val="none" w:sz="0" w:space="0" w:color="auto"/>
                  </w:divBdr>
                  <w:divsChild>
                    <w:div w:id="1098254796">
                      <w:marLeft w:val="0"/>
                      <w:marRight w:val="0"/>
                      <w:marTop w:val="0"/>
                      <w:marBottom w:val="0"/>
                      <w:divBdr>
                        <w:top w:val="none" w:sz="0" w:space="0" w:color="auto"/>
                        <w:left w:val="none" w:sz="0" w:space="0" w:color="auto"/>
                        <w:bottom w:val="none" w:sz="0" w:space="0" w:color="auto"/>
                        <w:right w:val="none" w:sz="0" w:space="0" w:color="auto"/>
                      </w:divBdr>
                    </w:div>
                  </w:divsChild>
                </w:div>
                <w:div w:id="1874461253">
                  <w:marLeft w:val="0"/>
                  <w:marRight w:val="0"/>
                  <w:marTop w:val="0"/>
                  <w:marBottom w:val="0"/>
                  <w:divBdr>
                    <w:top w:val="none" w:sz="0" w:space="0" w:color="auto"/>
                    <w:left w:val="none" w:sz="0" w:space="0" w:color="auto"/>
                    <w:bottom w:val="none" w:sz="0" w:space="0" w:color="auto"/>
                    <w:right w:val="none" w:sz="0" w:space="0" w:color="auto"/>
                  </w:divBdr>
                  <w:divsChild>
                    <w:div w:id="51734041">
                      <w:marLeft w:val="0"/>
                      <w:marRight w:val="0"/>
                      <w:marTop w:val="0"/>
                      <w:marBottom w:val="0"/>
                      <w:divBdr>
                        <w:top w:val="none" w:sz="0" w:space="0" w:color="auto"/>
                        <w:left w:val="none" w:sz="0" w:space="0" w:color="auto"/>
                        <w:bottom w:val="none" w:sz="0" w:space="0" w:color="auto"/>
                        <w:right w:val="none" w:sz="0" w:space="0" w:color="auto"/>
                      </w:divBdr>
                    </w:div>
                  </w:divsChild>
                </w:div>
                <w:div w:id="373123163">
                  <w:marLeft w:val="0"/>
                  <w:marRight w:val="0"/>
                  <w:marTop w:val="0"/>
                  <w:marBottom w:val="0"/>
                  <w:divBdr>
                    <w:top w:val="none" w:sz="0" w:space="0" w:color="auto"/>
                    <w:left w:val="none" w:sz="0" w:space="0" w:color="auto"/>
                    <w:bottom w:val="none" w:sz="0" w:space="0" w:color="auto"/>
                    <w:right w:val="none" w:sz="0" w:space="0" w:color="auto"/>
                  </w:divBdr>
                  <w:divsChild>
                    <w:div w:id="33739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95061">
          <w:marLeft w:val="0"/>
          <w:marRight w:val="0"/>
          <w:marTop w:val="0"/>
          <w:marBottom w:val="0"/>
          <w:divBdr>
            <w:top w:val="none" w:sz="0" w:space="0" w:color="auto"/>
            <w:left w:val="none" w:sz="0" w:space="0" w:color="auto"/>
            <w:bottom w:val="none" w:sz="0" w:space="0" w:color="auto"/>
            <w:right w:val="none" w:sz="0" w:space="0" w:color="auto"/>
          </w:divBdr>
        </w:div>
        <w:div w:id="872424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756</Words>
  <Characters>4254</Characters>
  <Application>Microsoft Office Word</Application>
  <DocSecurity>0</DocSecurity>
  <Lines>77</Lines>
  <Paragraphs>31</Paragraphs>
  <ScaleCrop>false</ScaleCrop>
  <HeadingPairs>
    <vt:vector size="2" baseType="variant">
      <vt:variant>
        <vt:lpstr>Title</vt:lpstr>
      </vt:variant>
      <vt:variant>
        <vt:i4>1</vt:i4>
      </vt:variant>
    </vt:vector>
  </HeadingPairs>
  <TitlesOfParts>
    <vt:vector size="1" baseType="lpstr">
      <vt:lpstr/>
    </vt:vector>
  </TitlesOfParts>
  <Company>LPL Financial</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Cardenas</dc:creator>
  <cp:keywords/>
  <dc:description/>
  <cp:lastModifiedBy>Linda Cardenas</cp:lastModifiedBy>
  <cp:revision>5</cp:revision>
  <cp:lastPrinted>2024-04-05T17:17:00Z</cp:lastPrinted>
  <dcterms:created xsi:type="dcterms:W3CDTF">2025-11-05T19:53:00Z</dcterms:created>
  <dcterms:modified xsi:type="dcterms:W3CDTF">2025-11-05T19:57:00Z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d53e9464-d0dd-4c66-b01f-a2022957549a</vt:lpwstr>
  </property>
</Properties>
</file>